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99F01" w14:textId="77777777" w:rsidR="006D4947" w:rsidRDefault="006D4947" w:rsidP="006D4947">
      <w:pPr>
        <w:rPr>
          <w:rFonts w:ascii="Gill Sans MT" w:hAnsi="Gill Sans MT"/>
          <w:sz w:val="20"/>
          <w:szCs w:val="20"/>
          <w:highlight w:val="yellow"/>
        </w:rPr>
      </w:pPr>
    </w:p>
    <w:p w14:paraId="3AD5B890" w14:textId="77777777" w:rsidR="006D4947" w:rsidRDefault="006D4947" w:rsidP="006D4947">
      <w:pPr>
        <w:rPr>
          <w:rFonts w:ascii="Gill Sans MT" w:hAnsi="Gill Sans MT"/>
          <w:sz w:val="20"/>
          <w:szCs w:val="20"/>
          <w:highlight w:val="yellow"/>
        </w:rPr>
      </w:pPr>
    </w:p>
    <w:p w14:paraId="341645EE" w14:textId="77777777" w:rsidR="006D4947" w:rsidRDefault="006D4947" w:rsidP="006D4947">
      <w:pPr>
        <w:rPr>
          <w:rFonts w:ascii="Gill Sans MT" w:hAnsi="Gill Sans MT"/>
          <w:sz w:val="20"/>
          <w:szCs w:val="20"/>
          <w:highlight w:val="yellow"/>
        </w:rPr>
      </w:pPr>
    </w:p>
    <w:p w14:paraId="5585783A" w14:textId="77777777" w:rsidR="006D4947" w:rsidRPr="00655288" w:rsidRDefault="006D4947" w:rsidP="006D4947">
      <w:pPr>
        <w:rPr>
          <w:rFonts w:ascii="Gill Sans MT" w:hAnsi="Gill Sans MT"/>
          <w:sz w:val="20"/>
          <w:szCs w:val="20"/>
          <w:lang w:val="en-AU"/>
        </w:rPr>
      </w:pPr>
      <w:r w:rsidRPr="00655288">
        <w:rPr>
          <w:rFonts w:ascii="Gill Sans MT" w:hAnsi="Gill Sans MT"/>
          <w:sz w:val="20"/>
          <w:szCs w:val="20"/>
          <w:highlight w:val="yellow"/>
        </w:rPr>
        <w:t>{Correspondence reference number}</w:t>
      </w:r>
    </w:p>
    <w:p w14:paraId="7C622ED2" w14:textId="77777777" w:rsidR="00F62EC1" w:rsidRPr="008E575A" w:rsidRDefault="00F62EC1" w:rsidP="00F62EC1">
      <w:pPr>
        <w:rPr>
          <w:rFonts w:ascii="Gill Sans MT" w:hAnsi="Gill Sans MT"/>
          <w:sz w:val="16"/>
          <w:szCs w:val="16"/>
          <w:lang w:val="en-AU"/>
        </w:rPr>
      </w:pPr>
    </w:p>
    <w:p w14:paraId="5DAB21C1" w14:textId="50FBEF32" w:rsidR="00F62EC1" w:rsidRPr="008E575A" w:rsidRDefault="00F62EC1" w:rsidP="00F62EC1">
      <w:pPr>
        <w:rPr>
          <w:rFonts w:ascii="Gill Sans MT" w:hAnsi="Gill Sans MT" w:cs="Tahoma"/>
          <w:lang w:val="en-AU"/>
        </w:rPr>
      </w:pPr>
      <w:r w:rsidRPr="008E575A">
        <w:rPr>
          <w:rFonts w:ascii="Gill Sans MT" w:hAnsi="Gill Sans MT" w:cs="Tahoma"/>
        </w:rPr>
        <w:fldChar w:fldCharType="begin"/>
      </w:r>
      <w:r w:rsidRPr="008E575A">
        <w:rPr>
          <w:rFonts w:ascii="Gill Sans MT" w:hAnsi="Gill Sans MT" w:cs="Tahoma"/>
          <w:lang w:val="en-AU"/>
        </w:rPr>
        <w:instrText xml:space="preserve"> DATE \@ "d MMMM yyyy" </w:instrText>
      </w:r>
      <w:r w:rsidRPr="008E575A">
        <w:rPr>
          <w:rFonts w:ascii="Gill Sans MT" w:hAnsi="Gill Sans MT" w:cs="Tahoma"/>
        </w:rPr>
        <w:fldChar w:fldCharType="separate"/>
      </w:r>
      <w:r w:rsidR="002C37DF">
        <w:rPr>
          <w:rFonts w:ascii="Gill Sans MT" w:hAnsi="Gill Sans MT" w:cs="Tahoma"/>
          <w:noProof/>
          <w:lang w:val="en-AU"/>
        </w:rPr>
        <w:t>16 September 2024</w:t>
      </w:r>
      <w:r w:rsidRPr="008E575A">
        <w:rPr>
          <w:rFonts w:ascii="Gill Sans MT" w:hAnsi="Gill Sans MT" w:cs="Tahoma"/>
        </w:rPr>
        <w:fldChar w:fldCharType="end"/>
      </w:r>
    </w:p>
    <w:p w14:paraId="093ABF82" w14:textId="77777777" w:rsidR="00F62EC1" w:rsidRPr="00D9456D" w:rsidRDefault="00F62EC1" w:rsidP="00F62EC1">
      <w:pPr>
        <w:rPr>
          <w:rFonts w:ascii="Gill Sans MT" w:hAnsi="Gill Sans MT" w:cs="Tahoma"/>
        </w:rPr>
      </w:pPr>
    </w:p>
    <w:p w14:paraId="2DD1A243" w14:textId="77777777" w:rsidR="00DF6FEE" w:rsidRPr="00DF6FEE" w:rsidRDefault="00DF6FEE" w:rsidP="00DF6FEE">
      <w:pPr>
        <w:outlineLvl w:val="0"/>
        <w:rPr>
          <w:rFonts w:ascii="Gill Sans MT" w:hAnsi="Gill Sans MT" w:cs="Tahoma"/>
          <w:highlight w:val="yellow"/>
        </w:rPr>
      </w:pPr>
      <w:r w:rsidRPr="00DF6FEE">
        <w:rPr>
          <w:rFonts w:ascii="Gill Sans MT" w:hAnsi="Gill Sans MT" w:cs="Tahoma"/>
          <w:highlight w:val="yellow"/>
        </w:rPr>
        <w:fldChar w:fldCharType="begin"/>
      </w:r>
      <w:r w:rsidRPr="00DF6FEE">
        <w:rPr>
          <w:rFonts w:ascii="Gill Sans MT" w:hAnsi="Gill Sans MT" w:cs="Tahoma"/>
          <w:highlight w:val="yellow"/>
        </w:rPr>
        <w:instrText xml:space="preserve"> MERGEFIELD Customer </w:instrText>
      </w:r>
      <w:r w:rsidRPr="00DF6FEE">
        <w:rPr>
          <w:rFonts w:ascii="Gill Sans MT" w:hAnsi="Gill Sans MT" w:cs="Tahoma"/>
          <w:highlight w:val="yellow"/>
        </w:rPr>
        <w:fldChar w:fldCharType="separate"/>
      </w:r>
      <w:r w:rsidRPr="00DF6FEE">
        <w:rPr>
          <w:rFonts w:ascii="Gill Sans MT" w:hAnsi="Gill Sans MT" w:cs="Tahoma"/>
          <w:noProof/>
          <w:highlight w:val="yellow"/>
        </w:rPr>
        <w:t>«Customer»</w:t>
      </w:r>
      <w:r w:rsidRPr="00DF6FEE">
        <w:rPr>
          <w:rFonts w:ascii="Gill Sans MT" w:hAnsi="Gill Sans MT" w:cs="Tahoma"/>
          <w:highlight w:val="yellow"/>
        </w:rPr>
        <w:fldChar w:fldCharType="end"/>
      </w:r>
    </w:p>
    <w:p w14:paraId="5E4ABB7B" w14:textId="77777777" w:rsidR="00DF6FEE" w:rsidRPr="00DF6FEE" w:rsidRDefault="00DF6FEE" w:rsidP="00DF6FEE">
      <w:pPr>
        <w:outlineLvl w:val="0"/>
        <w:rPr>
          <w:rFonts w:ascii="Gill Sans MT" w:hAnsi="Gill Sans MT" w:cs="Tahoma"/>
          <w:highlight w:val="yellow"/>
        </w:rPr>
      </w:pPr>
      <w:r w:rsidRPr="00DF6FEE">
        <w:rPr>
          <w:rFonts w:ascii="Gill Sans MT" w:hAnsi="Gill Sans MT" w:cs="Tahoma"/>
          <w:highlight w:val="yellow"/>
        </w:rPr>
        <w:fldChar w:fldCharType="begin"/>
      </w:r>
      <w:r w:rsidRPr="00DF6FEE">
        <w:rPr>
          <w:rFonts w:ascii="Gill Sans MT" w:hAnsi="Gill Sans MT" w:cs="Tahoma"/>
          <w:highlight w:val="yellow"/>
        </w:rPr>
        <w:instrText xml:space="preserve"> MERGEFIELD Postal_Address </w:instrText>
      </w:r>
      <w:r w:rsidRPr="00DF6FEE">
        <w:rPr>
          <w:rFonts w:ascii="Gill Sans MT" w:hAnsi="Gill Sans MT" w:cs="Tahoma"/>
          <w:highlight w:val="yellow"/>
        </w:rPr>
        <w:fldChar w:fldCharType="separate"/>
      </w:r>
      <w:r w:rsidRPr="00DF6FEE">
        <w:rPr>
          <w:rFonts w:ascii="Gill Sans MT" w:hAnsi="Gill Sans MT" w:cs="Tahoma"/>
          <w:noProof/>
          <w:highlight w:val="yellow"/>
        </w:rPr>
        <w:t>«Postal_Address»</w:t>
      </w:r>
      <w:r w:rsidRPr="00DF6FEE">
        <w:rPr>
          <w:rFonts w:ascii="Gill Sans MT" w:hAnsi="Gill Sans MT" w:cs="Tahoma"/>
          <w:highlight w:val="yellow"/>
        </w:rPr>
        <w:fldChar w:fldCharType="end"/>
      </w:r>
    </w:p>
    <w:p w14:paraId="74074109" w14:textId="77777777" w:rsidR="00DF6FEE" w:rsidRPr="008E575A" w:rsidRDefault="00DF6FEE" w:rsidP="00DF6FEE">
      <w:pPr>
        <w:outlineLvl w:val="0"/>
        <w:rPr>
          <w:rFonts w:ascii="Gill Sans MT" w:hAnsi="Gill Sans MT" w:cs="Tahoma"/>
        </w:rPr>
      </w:pPr>
      <w:r w:rsidRPr="00DF6FEE">
        <w:rPr>
          <w:rFonts w:ascii="Gill Sans MT" w:hAnsi="Gill Sans MT" w:cs="Tahoma"/>
          <w:highlight w:val="yellow"/>
        </w:rPr>
        <w:fldChar w:fldCharType="begin"/>
      </w:r>
      <w:r w:rsidRPr="00DF6FEE">
        <w:rPr>
          <w:rFonts w:ascii="Gill Sans MT" w:hAnsi="Gill Sans MT" w:cs="Tahoma"/>
          <w:highlight w:val="yellow"/>
        </w:rPr>
        <w:instrText xml:space="preserve"> MERGEFIELD Suburb </w:instrText>
      </w:r>
      <w:r w:rsidRPr="00DF6FEE">
        <w:rPr>
          <w:rFonts w:ascii="Gill Sans MT" w:hAnsi="Gill Sans MT" w:cs="Tahoma"/>
          <w:highlight w:val="yellow"/>
        </w:rPr>
        <w:fldChar w:fldCharType="separate"/>
      </w:r>
      <w:r w:rsidRPr="00DF6FEE">
        <w:rPr>
          <w:rFonts w:ascii="Gill Sans MT" w:hAnsi="Gill Sans MT" w:cs="Tahoma"/>
          <w:noProof/>
          <w:highlight w:val="yellow"/>
        </w:rPr>
        <w:t>«Suburb»</w:t>
      </w:r>
      <w:r w:rsidRPr="00DF6FEE">
        <w:rPr>
          <w:rFonts w:ascii="Gill Sans MT" w:hAnsi="Gill Sans MT" w:cs="Tahoma"/>
          <w:highlight w:val="yellow"/>
        </w:rPr>
        <w:fldChar w:fldCharType="end"/>
      </w:r>
      <w:r w:rsidRPr="00DF6FEE">
        <w:rPr>
          <w:rFonts w:ascii="Gill Sans MT" w:hAnsi="Gill Sans MT" w:cs="Tahoma"/>
          <w:highlight w:val="yellow"/>
        </w:rPr>
        <w:t xml:space="preserve">  </w:t>
      </w:r>
      <w:r w:rsidRPr="00DF6FEE">
        <w:rPr>
          <w:rFonts w:ascii="Gill Sans MT" w:hAnsi="Gill Sans MT" w:cs="Tahoma"/>
          <w:highlight w:val="yellow"/>
        </w:rPr>
        <w:fldChar w:fldCharType="begin"/>
      </w:r>
      <w:r w:rsidRPr="00DF6FEE">
        <w:rPr>
          <w:rFonts w:ascii="Gill Sans MT" w:hAnsi="Gill Sans MT" w:cs="Tahoma"/>
          <w:highlight w:val="yellow"/>
        </w:rPr>
        <w:instrText xml:space="preserve"> MERGEFIELD State </w:instrText>
      </w:r>
      <w:r w:rsidRPr="00DF6FEE">
        <w:rPr>
          <w:rFonts w:ascii="Gill Sans MT" w:hAnsi="Gill Sans MT" w:cs="Tahoma"/>
          <w:highlight w:val="yellow"/>
        </w:rPr>
        <w:fldChar w:fldCharType="separate"/>
      </w:r>
      <w:r w:rsidRPr="00DF6FEE">
        <w:rPr>
          <w:rFonts w:ascii="Gill Sans MT" w:hAnsi="Gill Sans MT" w:cs="Tahoma"/>
          <w:noProof/>
          <w:highlight w:val="yellow"/>
        </w:rPr>
        <w:t>«State»</w:t>
      </w:r>
      <w:r w:rsidRPr="00DF6FEE">
        <w:rPr>
          <w:rFonts w:ascii="Gill Sans MT" w:hAnsi="Gill Sans MT" w:cs="Tahoma"/>
          <w:highlight w:val="yellow"/>
        </w:rPr>
        <w:fldChar w:fldCharType="end"/>
      </w:r>
      <w:r w:rsidRPr="00DF6FEE">
        <w:rPr>
          <w:rFonts w:ascii="Gill Sans MT" w:hAnsi="Gill Sans MT" w:cs="Tahoma"/>
          <w:highlight w:val="yellow"/>
        </w:rPr>
        <w:t xml:space="preserve">  </w:t>
      </w:r>
      <w:r w:rsidRPr="00DF6FEE">
        <w:rPr>
          <w:rFonts w:ascii="Gill Sans MT" w:hAnsi="Gill Sans MT" w:cs="Tahoma"/>
          <w:highlight w:val="yellow"/>
        </w:rPr>
        <w:fldChar w:fldCharType="begin"/>
      </w:r>
      <w:r w:rsidRPr="00DF6FEE">
        <w:rPr>
          <w:rFonts w:ascii="Gill Sans MT" w:hAnsi="Gill Sans MT" w:cs="Tahoma"/>
          <w:highlight w:val="yellow"/>
        </w:rPr>
        <w:instrText xml:space="preserve"> MERGEFIELD Postcode </w:instrText>
      </w:r>
      <w:r w:rsidRPr="00DF6FEE">
        <w:rPr>
          <w:rFonts w:ascii="Gill Sans MT" w:hAnsi="Gill Sans MT" w:cs="Tahoma"/>
          <w:highlight w:val="yellow"/>
        </w:rPr>
        <w:fldChar w:fldCharType="separate"/>
      </w:r>
      <w:r w:rsidRPr="00DF6FEE">
        <w:rPr>
          <w:rFonts w:ascii="Gill Sans MT" w:hAnsi="Gill Sans MT" w:cs="Tahoma"/>
          <w:noProof/>
          <w:highlight w:val="yellow"/>
        </w:rPr>
        <w:t>«Postcode»</w:t>
      </w:r>
      <w:r w:rsidRPr="00DF6FEE">
        <w:rPr>
          <w:rFonts w:ascii="Gill Sans MT" w:hAnsi="Gill Sans MT" w:cs="Tahoma"/>
          <w:highlight w:val="yellow"/>
        </w:rPr>
        <w:fldChar w:fldCharType="end"/>
      </w:r>
    </w:p>
    <w:p w14:paraId="5556F0ED" w14:textId="77777777" w:rsidR="00DF6FEE" w:rsidRDefault="00DF6FEE" w:rsidP="00DF6FEE">
      <w:pPr>
        <w:rPr>
          <w:rFonts w:ascii="Gill Sans MT" w:hAnsi="Gill Sans MT"/>
          <w:sz w:val="16"/>
          <w:szCs w:val="16"/>
          <w:lang w:val="en-AU"/>
        </w:rPr>
      </w:pPr>
    </w:p>
    <w:p w14:paraId="03659B47" w14:textId="77777777" w:rsidR="00DF6FEE" w:rsidRPr="008E575A" w:rsidRDefault="00DF6FEE" w:rsidP="00DF6FEE">
      <w:pPr>
        <w:rPr>
          <w:rFonts w:ascii="Gill Sans MT" w:hAnsi="Gill Sans MT"/>
          <w:sz w:val="16"/>
          <w:szCs w:val="16"/>
          <w:lang w:val="en-AU"/>
        </w:rPr>
      </w:pPr>
    </w:p>
    <w:p w14:paraId="6C02AAD6" w14:textId="77777777" w:rsidR="00DF6FEE" w:rsidRPr="00DF6FEE" w:rsidRDefault="00DF6FEE" w:rsidP="00DF6FEE">
      <w:pPr>
        <w:rPr>
          <w:rFonts w:ascii="Gill Sans MT" w:hAnsi="Gill Sans MT"/>
          <w:sz w:val="23"/>
          <w:szCs w:val="23"/>
          <w:lang w:val="en-AU"/>
        </w:rPr>
      </w:pPr>
    </w:p>
    <w:p w14:paraId="3D60CEDA" w14:textId="77777777" w:rsidR="00DF6FEE" w:rsidRPr="00DF6FEE" w:rsidRDefault="00DF6FEE" w:rsidP="00DF6FEE">
      <w:pPr>
        <w:outlineLvl w:val="0"/>
        <w:rPr>
          <w:rFonts w:ascii="Gill Sans MT" w:hAnsi="Gill Sans MT" w:cs="Tahoma"/>
          <w:sz w:val="23"/>
          <w:szCs w:val="23"/>
        </w:rPr>
      </w:pPr>
      <w:r w:rsidRPr="00DF6FEE">
        <w:rPr>
          <w:rFonts w:ascii="Gill Sans MT" w:hAnsi="Gill Sans MT"/>
          <w:sz w:val="23"/>
          <w:szCs w:val="23"/>
        </w:rPr>
        <w:t xml:space="preserve">Dear </w:t>
      </w:r>
      <w:r w:rsidRPr="00DF6FEE">
        <w:rPr>
          <w:rFonts w:ascii="Gill Sans MT" w:hAnsi="Gill Sans MT" w:cs="Tahoma"/>
          <w:sz w:val="23"/>
          <w:szCs w:val="23"/>
          <w:highlight w:val="yellow"/>
        </w:rPr>
        <w:fldChar w:fldCharType="begin"/>
      </w:r>
      <w:r w:rsidRPr="00DF6FEE">
        <w:rPr>
          <w:rFonts w:ascii="Gill Sans MT" w:hAnsi="Gill Sans MT" w:cs="Tahoma"/>
          <w:sz w:val="23"/>
          <w:szCs w:val="23"/>
          <w:highlight w:val="yellow"/>
        </w:rPr>
        <w:instrText xml:space="preserve"> MERGEFIELD Customer </w:instrText>
      </w:r>
      <w:r w:rsidRPr="00DF6FEE">
        <w:rPr>
          <w:rFonts w:ascii="Gill Sans MT" w:hAnsi="Gill Sans MT" w:cs="Tahoma"/>
          <w:sz w:val="23"/>
          <w:szCs w:val="23"/>
          <w:highlight w:val="yellow"/>
        </w:rPr>
        <w:fldChar w:fldCharType="separate"/>
      </w:r>
      <w:r w:rsidRPr="00DF6FEE">
        <w:rPr>
          <w:rFonts w:ascii="Gill Sans MT" w:hAnsi="Gill Sans MT" w:cs="Tahoma"/>
          <w:noProof/>
          <w:sz w:val="23"/>
          <w:szCs w:val="23"/>
          <w:highlight w:val="yellow"/>
        </w:rPr>
        <w:t>«Customer»</w:t>
      </w:r>
      <w:r w:rsidRPr="00DF6FEE">
        <w:rPr>
          <w:rFonts w:ascii="Gill Sans MT" w:hAnsi="Gill Sans MT" w:cs="Tahoma"/>
          <w:sz w:val="23"/>
          <w:szCs w:val="23"/>
          <w:highlight w:val="yellow"/>
        </w:rPr>
        <w:fldChar w:fldCharType="end"/>
      </w:r>
      <w:r w:rsidRPr="00DF6FEE">
        <w:rPr>
          <w:rFonts w:ascii="Gill Sans MT" w:hAnsi="Gill Sans MT"/>
          <w:sz w:val="23"/>
          <w:szCs w:val="23"/>
        </w:rPr>
        <w:t>,</w:t>
      </w:r>
    </w:p>
    <w:p w14:paraId="45EC4574" w14:textId="77777777" w:rsidR="00DF6FEE" w:rsidRPr="00DF6FEE" w:rsidRDefault="00DF6FEE" w:rsidP="00DF6FEE">
      <w:pPr>
        <w:rPr>
          <w:rFonts w:ascii="Gill Sans MT" w:hAnsi="Gill Sans MT"/>
          <w:sz w:val="23"/>
          <w:szCs w:val="23"/>
        </w:rPr>
      </w:pPr>
    </w:p>
    <w:p w14:paraId="14315F31" w14:textId="77777777" w:rsidR="00DF6FEE" w:rsidRPr="00DF6FEE" w:rsidRDefault="00DF6FEE" w:rsidP="00DF6FEE">
      <w:pPr>
        <w:autoSpaceDE w:val="0"/>
        <w:autoSpaceDN w:val="0"/>
        <w:adjustRightInd w:val="0"/>
        <w:rPr>
          <w:rFonts w:ascii="Gill Sans MT" w:hAnsi="Gill Sans MT"/>
          <w:sz w:val="23"/>
          <w:szCs w:val="23"/>
        </w:rPr>
      </w:pPr>
      <w:r w:rsidRPr="00DF6FEE">
        <w:rPr>
          <w:rFonts w:ascii="Gill Sans MT" w:hAnsi="Gill Sans MT"/>
          <w:sz w:val="23"/>
          <w:szCs w:val="23"/>
        </w:rPr>
        <w:t xml:space="preserve">I refer to your application dated </w:t>
      </w:r>
      <w:r w:rsidRPr="00DF6FEE">
        <w:rPr>
          <w:rFonts w:ascii="Gill Sans MT" w:hAnsi="Gill Sans MT" w:cs="Tahoma"/>
          <w:sz w:val="23"/>
          <w:szCs w:val="23"/>
          <w:highlight w:val="yellow"/>
        </w:rPr>
        <w:fldChar w:fldCharType="begin"/>
      </w:r>
      <w:r w:rsidRPr="00DF6FEE">
        <w:rPr>
          <w:rFonts w:ascii="Gill Sans MT" w:hAnsi="Gill Sans MT" w:cs="Tahoma"/>
          <w:sz w:val="23"/>
          <w:szCs w:val="23"/>
          <w:highlight w:val="yellow"/>
        </w:rPr>
        <w:instrText xml:space="preserve"> MERGEFIELD Customer </w:instrText>
      </w:r>
      <w:r w:rsidRPr="00DF6FEE">
        <w:rPr>
          <w:rFonts w:ascii="Gill Sans MT" w:hAnsi="Gill Sans MT" w:cs="Tahoma"/>
          <w:sz w:val="23"/>
          <w:szCs w:val="23"/>
          <w:highlight w:val="yellow"/>
        </w:rPr>
        <w:fldChar w:fldCharType="separate"/>
      </w:r>
      <w:r w:rsidRPr="00DF6FEE">
        <w:rPr>
          <w:rFonts w:ascii="Gill Sans MT" w:hAnsi="Gill Sans MT" w:cs="Tahoma"/>
          <w:noProof/>
          <w:sz w:val="23"/>
          <w:szCs w:val="23"/>
          <w:highlight w:val="yellow"/>
        </w:rPr>
        <w:t>«date»</w:t>
      </w:r>
      <w:r w:rsidRPr="00DF6FEE">
        <w:rPr>
          <w:rFonts w:ascii="Gill Sans MT" w:hAnsi="Gill Sans MT" w:cs="Tahoma"/>
          <w:sz w:val="23"/>
          <w:szCs w:val="23"/>
          <w:highlight w:val="yellow"/>
        </w:rPr>
        <w:fldChar w:fldCharType="end"/>
      </w:r>
      <w:r w:rsidRPr="00DF6FEE">
        <w:rPr>
          <w:rFonts w:ascii="Gill Sans MT" w:hAnsi="Gill Sans MT"/>
          <w:sz w:val="23"/>
          <w:szCs w:val="23"/>
        </w:rPr>
        <w:t xml:space="preserve"> to use Crown land for </w:t>
      </w:r>
      <w:r w:rsidRPr="00DF6FEE">
        <w:rPr>
          <w:rFonts w:ascii="Gill Sans MT" w:hAnsi="Gill Sans MT" w:cs="Tahoma"/>
          <w:sz w:val="23"/>
          <w:szCs w:val="23"/>
          <w:highlight w:val="yellow"/>
        </w:rPr>
        <w:fldChar w:fldCharType="begin"/>
      </w:r>
      <w:r w:rsidRPr="00DF6FEE">
        <w:rPr>
          <w:rFonts w:ascii="Gill Sans MT" w:hAnsi="Gill Sans MT" w:cs="Tahoma"/>
          <w:sz w:val="23"/>
          <w:szCs w:val="23"/>
          <w:highlight w:val="yellow"/>
        </w:rPr>
        <w:instrText xml:space="preserve"> MERGEFIELD Customer </w:instrText>
      </w:r>
      <w:r w:rsidRPr="00DF6FEE">
        <w:rPr>
          <w:rFonts w:ascii="Gill Sans MT" w:hAnsi="Gill Sans MT" w:cs="Tahoma"/>
          <w:sz w:val="23"/>
          <w:szCs w:val="23"/>
          <w:highlight w:val="yellow"/>
        </w:rPr>
        <w:fldChar w:fldCharType="separate"/>
      </w:r>
      <w:r w:rsidRPr="00DF6FEE">
        <w:rPr>
          <w:rFonts w:ascii="Gill Sans MT" w:hAnsi="Gill Sans MT" w:cs="Tahoma"/>
          <w:noProof/>
          <w:sz w:val="23"/>
          <w:szCs w:val="23"/>
          <w:highlight w:val="yellow"/>
        </w:rPr>
        <w:t>«purpose»</w:t>
      </w:r>
      <w:r w:rsidRPr="00DF6FEE">
        <w:rPr>
          <w:rFonts w:ascii="Gill Sans MT" w:hAnsi="Gill Sans MT" w:cs="Tahoma"/>
          <w:sz w:val="23"/>
          <w:szCs w:val="23"/>
          <w:highlight w:val="yellow"/>
        </w:rPr>
        <w:fldChar w:fldCharType="end"/>
      </w:r>
      <w:r w:rsidRPr="00DF6FEE">
        <w:rPr>
          <w:rFonts w:ascii="Gill Sans MT" w:hAnsi="Gill Sans MT"/>
          <w:sz w:val="23"/>
          <w:szCs w:val="23"/>
        </w:rPr>
        <w:t>.</w:t>
      </w:r>
    </w:p>
    <w:p w14:paraId="451D8B6E" w14:textId="77777777" w:rsidR="00DF6FEE" w:rsidRPr="00DF6FEE" w:rsidRDefault="00DF6FEE" w:rsidP="00DF6FEE">
      <w:pPr>
        <w:autoSpaceDE w:val="0"/>
        <w:autoSpaceDN w:val="0"/>
        <w:adjustRightInd w:val="0"/>
        <w:rPr>
          <w:rFonts w:ascii="Gill Sans MT" w:hAnsi="Gill Sans MT" w:cs="Gill Sans MT,Bold"/>
          <w:b/>
          <w:bCs/>
          <w:color w:val="000000"/>
          <w:sz w:val="23"/>
          <w:szCs w:val="23"/>
          <w:lang w:val="en-AU" w:eastAsia="en-AU"/>
        </w:rPr>
      </w:pPr>
    </w:p>
    <w:p w14:paraId="197AD062" w14:textId="228DA80D" w:rsidR="00DF6FEE" w:rsidRPr="002F50F4" w:rsidRDefault="00DF6FEE" w:rsidP="00DF6FEE">
      <w:pPr>
        <w:pStyle w:val="Default"/>
        <w:rPr>
          <w:rFonts w:ascii="Gill Sans MT" w:hAnsi="Gill Sans MT"/>
          <w:sz w:val="23"/>
          <w:szCs w:val="23"/>
        </w:rPr>
      </w:pPr>
      <w:r w:rsidRPr="002F50F4">
        <w:rPr>
          <w:rFonts w:ascii="Gill Sans MT" w:hAnsi="Gill Sans MT"/>
          <w:sz w:val="23"/>
          <w:szCs w:val="23"/>
        </w:rPr>
        <w:t xml:space="preserve">On </w:t>
      </w:r>
      <w:r w:rsidR="002F50F4">
        <w:rPr>
          <w:rFonts w:ascii="Gill Sans MT" w:hAnsi="Gill Sans MT"/>
          <w:sz w:val="23"/>
          <w:szCs w:val="23"/>
        </w:rPr>
        <w:t>28 March 2013</w:t>
      </w:r>
      <w:r w:rsidRPr="002F50F4">
        <w:rPr>
          <w:rFonts w:ascii="Gill Sans MT" w:hAnsi="Gill Sans MT"/>
          <w:sz w:val="23"/>
          <w:szCs w:val="23"/>
        </w:rPr>
        <w:t xml:space="preserve"> the State Government entered into a Land Use Activity Agreement (LUAA) with the Dja </w:t>
      </w:r>
      <w:proofErr w:type="spellStart"/>
      <w:r w:rsidRPr="002F50F4">
        <w:rPr>
          <w:rFonts w:ascii="Gill Sans MT" w:hAnsi="Gill Sans MT"/>
          <w:sz w:val="23"/>
          <w:szCs w:val="23"/>
        </w:rPr>
        <w:t>Dja</w:t>
      </w:r>
      <w:proofErr w:type="spellEnd"/>
      <w:r w:rsidRPr="002F50F4">
        <w:rPr>
          <w:rFonts w:ascii="Gill Sans MT" w:hAnsi="Gill Sans MT"/>
          <w:sz w:val="23"/>
          <w:szCs w:val="23"/>
        </w:rPr>
        <w:t xml:space="preserve"> Wurrung Clans Aboriginal Corporation (</w:t>
      </w:r>
      <w:r w:rsidR="002C37DF">
        <w:rPr>
          <w:rFonts w:ascii="Gill Sans MT" w:hAnsi="Gill Sans MT"/>
          <w:sz w:val="23"/>
          <w:szCs w:val="23"/>
        </w:rPr>
        <w:t xml:space="preserve">now known as </w:t>
      </w:r>
      <w:proofErr w:type="spellStart"/>
      <w:r w:rsidR="002C37DF">
        <w:rPr>
          <w:rFonts w:ascii="Gill Sans MT" w:hAnsi="Gill Sans MT"/>
          <w:sz w:val="23"/>
          <w:szCs w:val="23"/>
        </w:rPr>
        <w:t>Djaara</w:t>
      </w:r>
      <w:proofErr w:type="spellEnd"/>
      <w:r w:rsidR="002C37DF">
        <w:rPr>
          <w:rFonts w:ascii="Gill Sans MT" w:hAnsi="Gill Sans MT"/>
          <w:sz w:val="23"/>
          <w:szCs w:val="23"/>
        </w:rPr>
        <w:t>).</w:t>
      </w:r>
      <w:r w:rsidRPr="002F50F4">
        <w:rPr>
          <w:rFonts w:ascii="Gill Sans MT" w:hAnsi="Gill Sans MT"/>
          <w:sz w:val="23"/>
          <w:szCs w:val="23"/>
        </w:rPr>
        <w:t xml:space="preserve"> The LUAA recognises </w:t>
      </w:r>
      <w:proofErr w:type="spellStart"/>
      <w:r w:rsidR="002C37DF">
        <w:rPr>
          <w:rFonts w:ascii="Gill Sans MT" w:hAnsi="Gill Sans MT"/>
          <w:sz w:val="23"/>
          <w:szCs w:val="23"/>
        </w:rPr>
        <w:t>Djaara’s</w:t>
      </w:r>
      <w:proofErr w:type="spellEnd"/>
      <w:r w:rsidR="002C37DF">
        <w:rPr>
          <w:rFonts w:ascii="Gill Sans MT" w:hAnsi="Gill Sans MT"/>
          <w:sz w:val="23"/>
          <w:szCs w:val="23"/>
        </w:rPr>
        <w:t xml:space="preserve"> </w:t>
      </w:r>
      <w:r w:rsidRPr="002F50F4">
        <w:rPr>
          <w:rFonts w:ascii="Gill Sans MT" w:hAnsi="Gill Sans MT"/>
          <w:sz w:val="23"/>
          <w:szCs w:val="23"/>
        </w:rPr>
        <w:t xml:space="preserve">rights in relation to areas of public land and sets out classes of activities that </w:t>
      </w:r>
      <w:r w:rsidR="00A42169">
        <w:rPr>
          <w:rFonts w:ascii="Gill Sans MT" w:hAnsi="Gill Sans MT"/>
          <w:sz w:val="23"/>
          <w:szCs w:val="23"/>
        </w:rPr>
        <w:t xml:space="preserve">may </w:t>
      </w:r>
      <w:r w:rsidRPr="002F50F4">
        <w:rPr>
          <w:rFonts w:ascii="Gill Sans MT" w:hAnsi="Gill Sans MT"/>
          <w:sz w:val="23"/>
          <w:szCs w:val="23"/>
        </w:rPr>
        <w:t xml:space="preserve">occur on public land that may interfere with those rights. </w:t>
      </w:r>
    </w:p>
    <w:p w14:paraId="1798F5C7" w14:textId="77777777" w:rsidR="00DF6FEE" w:rsidRPr="002F50F4" w:rsidRDefault="00DF6FEE" w:rsidP="00DF6FEE">
      <w:pPr>
        <w:pStyle w:val="Default"/>
        <w:rPr>
          <w:rFonts w:ascii="Gill Sans MT" w:hAnsi="Gill Sans MT"/>
          <w:sz w:val="23"/>
          <w:szCs w:val="23"/>
        </w:rPr>
      </w:pPr>
    </w:p>
    <w:p w14:paraId="62199348" w14:textId="4CA3373D" w:rsidR="00DF6FEE" w:rsidRPr="002F50F4" w:rsidRDefault="00DF6FEE" w:rsidP="00DF6FEE">
      <w:pPr>
        <w:pStyle w:val="Default"/>
        <w:rPr>
          <w:rFonts w:ascii="Gill Sans MT" w:hAnsi="Gill Sans MT"/>
          <w:sz w:val="23"/>
          <w:szCs w:val="23"/>
        </w:rPr>
      </w:pPr>
      <w:r w:rsidRPr="002F50F4">
        <w:rPr>
          <w:rFonts w:ascii="Gill Sans MT" w:hAnsi="Gill Sans MT"/>
          <w:sz w:val="23"/>
          <w:szCs w:val="23"/>
        </w:rPr>
        <w:t xml:space="preserve">Under the LUAA, the use of land for </w:t>
      </w:r>
      <w:r w:rsidRPr="002F50F4">
        <w:rPr>
          <w:rFonts w:ascii="Gill Sans MT" w:hAnsi="Gill Sans MT" w:cs="Tahoma"/>
          <w:sz w:val="23"/>
          <w:szCs w:val="23"/>
          <w:highlight w:val="yellow"/>
        </w:rPr>
        <w:fldChar w:fldCharType="begin"/>
      </w:r>
      <w:r w:rsidRPr="002F50F4">
        <w:rPr>
          <w:rFonts w:ascii="Gill Sans MT" w:hAnsi="Gill Sans MT" w:cs="Tahoma"/>
          <w:sz w:val="23"/>
          <w:szCs w:val="23"/>
          <w:highlight w:val="yellow"/>
        </w:rPr>
        <w:instrText xml:space="preserve"> MERGEFIELD Customer </w:instrText>
      </w:r>
      <w:r w:rsidRPr="002F50F4">
        <w:rPr>
          <w:rFonts w:ascii="Gill Sans MT" w:hAnsi="Gill Sans MT" w:cs="Tahoma"/>
          <w:sz w:val="23"/>
          <w:szCs w:val="23"/>
          <w:highlight w:val="yellow"/>
        </w:rPr>
        <w:fldChar w:fldCharType="separate"/>
      </w:r>
      <w:r w:rsidRPr="002F50F4">
        <w:rPr>
          <w:rFonts w:ascii="Gill Sans MT" w:hAnsi="Gill Sans MT" w:cs="Tahoma"/>
          <w:noProof/>
          <w:sz w:val="23"/>
          <w:szCs w:val="23"/>
          <w:highlight w:val="yellow"/>
        </w:rPr>
        <w:t>«purpose»</w:t>
      </w:r>
      <w:r w:rsidRPr="002F50F4">
        <w:rPr>
          <w:rFonts w:ascii="Gill Sans MT" w:hAnsi="Gill Sans MT" w:cs="Tahoma"/>
          <w:sz w:val="23"/>
          <w:szCs w:val="23"/>
          <w:highlight w:val="yellow"/>
        </w:rPr>
        <w:fldChar w:fldCharType="end"/>
      </w:r>
      <w:r w:rsidRPr="002F50F4">
        <w:rPr>
          <w:rFonts w:ascii="Gill Sans MT" w:hAnsi="Gill Sans MT"/>
          <w:sz w:val="23"/>
          <w:szCs w:val="23"/>
        </w:rPr>
        <w:t xml:space="preserve"> is an Advisory Activity. The LUUA requires </w:t>
      </w:r>
      <w:r w:rsidR="002C37DF" w:rsidRPr="002C37DF">
        <w:rPr>
          <w:rFonts w:ascii="Gill Sans MT" w:hAnsi="Gill Sans MT"/>
          <w:sz w:val="23"/>
          <w:szCs w:val="23"/>
          <w:highlight w:val="yellow"/>
        </w:rPr>
        <w:t xml:space="preserve">{name of </w:t>
      </w:r>
      <w:r w:rsidR="002C37DF">
        <w:rPr>
          <w:rFonts w:ascii="Gill Sans MT" w:hAnsi="Gill Sans MT"/>
          <w:sz w:val="23"/>
          <w:szCs w:val="23"/>
          <w:highlight w:val="yellow"/>
        </w:rPr>
        <w:t>responsible</w:t>
      </w:r>
      <w:r w:rsidR="002C37DF" w:rsidRPr="002C37DF">
        <w:rPr>
          <w:rFonts w:ascii="Gill Sans MT" w:hAnsi="Gill Sans MT"/>
          <w:sz w:val="23"/>
          <w:szCs w:val="23"/>
          <w:highlight w:val="yellow"/>
        </w:rPr>
        <w:t xml:space="preserve"> organisation}</w:t>
      </w:r>
      <w:r w:rsidRPr="002F50F4">
        <w:rPr>
          <w:rFonts w:ascii="Gill Sans MT" w:hAnsi="Gill Sans MT"/>
          <w:sz w:val="23"/>
          <w:szCs w:val="23"/>
        </w:rPr>
        <w:t>, as the Decision Maker, to undertake certain procedural steps before we can allow the activity to proceed. We must:</w:t>
      </w:r>
    </w:p>
    <w:p w14:paraId="0A340FA5" w14:textId="77777777" w:rsidR="00DF6FEE" w:rsidRPr="002F50F4" w:rsidRDefault="00DF6FEE" w:rsidP="00DF6FEE">
      <w:pPr>
        <w:pStyle w:val="Default"/>
        <w:rPr>
          <w:rFonts w:ascii="Gill Sans MT" w:hAnsi="Gill Sans MT"/>
          <w:sz w:val="23"/>
          <w:szCs w:val="23"/>
        </w:rPr>
      </w:pPr>
    </w:p>
    <w:p w14:paraId="0A48E24B" w14:textId="3964854D" w:rsidR="00DF6FEE" w:rsidRPr="002F50F4" w:rsidRDefault="00DF6FEE" w:rsidP="00DF6FEE">
      <w:pPr>
        <w:pStyle w:val="Default"/>
        <w:numPr>
          <w:ilvl w:val="0"/>
          <w:numId w:val="7"/>
        </w:numPr>
        <w:spacing w:after="12"/>
        <w:rPr>
          <w:rFonts w:ascii="Gill Sans MT" w:hAnsi="Gill Sans MT"/>
          <w:sz w:val="23"/>
          <w:szCs w:val="23"/>
        </w:rPr>
      </w:pPr>
      <w:r w:rsidRPr="002F50F4">
        <w:rPr>
          <w:rFonts w:ascii="Gill Sans MT" w:hAnsi="Gill Sans MT"/>
          <w:sz w:val="23"/>
          <w:szCs w:val="23"/>
        </w:rPr>
        <w:t xml:space="preserve">Notify </w:t>
      </w:r>
      <w:proofErr w:type="spellStart"/>
      <w:r w:rsidR="002C37DF">
        <w:rPr>
          <w:rFonts w:ascii="Gill Sans MT" w:hAnsi="Gill Sans MT"/>
          <w:sz w:val="23"/>
          <w:szCs w:val="23"/>
        </w:rPr>
        <w:t>Djaara</w:t>
      </w:r>
      <w:proofErr w:type="spellEnd"/>
      <w:r w:rsidR="002C37DF">
        <w:rPr>
          <w:rFonts w:ascii="Gill Sans MT" w:hAnsi="Gill Sans MT"/>
          <w:sz w:val="23"/>
          <w:szCs w:val="23"/>
        </w:rPr>
        <w:t xml:space="preserve"> </w:t>
      </w:r>
      <w:r w:rsidRPr="002F50F4">
        <w:rPr>
          <w:rFonts w:ascii="Gill Sans MT" w:hAnsi="Gill Sans MT"/>
          <w:sz w:val="23"/>
          <w:szCs w:val="23"/>
        </w:rPr>
        <w:t xml:space="preserve">of the </w:t>
      </w:r>
      <w:proofErr w:type="gramStart"/>
      <w:r w:rsidRPr="002F50F4">
        <w:rPr>
          <w:rFonts w:ascii="Gill Sans MT" w:hAnsi="Gill Sans MT"/>
          <w:sz w:val="23"/>
          <w:szCs w:val="23"/>
        </w:rPr>
        <w:t>activity;</w:t>
      </w:r>
      <w:proofErr w:type="gramEnd"/>
      <w:r w:rsidRPr="002F50F4">
        <w:rPr>
          <w:rFonts w:ascii="Gill Sans MT" w:hAnsi="Gill Sans MT"/>
          <w:sz w:val="23"/>
          <w:szCs w:val="23"/>
        </w:rPr>
        <w:t xml:space="preserve"> </w:t>
      </w:r>
    </w:p>
    <w:p w14:paraId="291E1750" w14:textId="6ABDEA50" w:rsidR="00DF6FEE" w:rsidRPr="002F50F4" w:rsidRDefault="00DF6FEE" w:rsidP="00DF6FEE">
      <w:pPr>
        <w:pStyle w:val="Default"/>
        <w:numPr>
          <w:ilvl w:val="0"/>
          <w:numId w:val="7"/>
        </w:numPr>
        <w:spacing w:after="12"/>
        <w:rPr>
          <w:rFonts w:ascii="Gill Sans MT" w:hAnsi="Gill Sans MT"/>
          <w:sz w:val="23"/>
          <w:szCs w:val="23"/>
        </w:rPr>
      </w:pPr>
      <w:r w:rsidRPr="002F50F4">
        <w:rPr>
          <w:rFonts w:ascii="Gill Sans MT" w:hAnsi="Gill Sans MT"/>
          <w:sz w:val="23"/>
          <w:szCs w:val="23"/>
        </w:rPr>
        <w:t xml:space="preserve">Provide </w:t>
      </w:r>
      <w:proofErr w:type="spellStart"/>
      <w:r w:rsidR="002C37DF">
        <w:rPr>
          <w:rFonts w:ascii="Gill Sans MT" w:hAnsi="Gill Sans MT"/>
          <w:sz w:val="23"/>
          <w:szCs w:val="23"/>
        </w:rPr>
        <w:t>Djaara</w:t>
      </w:r>
      <w:proofErr w:type="spellEnd"/>
      <w:r w:rsidRPr="002F50F4">
        <w:rPr>
          <w:rFonts w:ascii="Gill Sans MT" w:hAnsi="Gill Sans MT"/>
          <w:sz w:val="23"/>
          <w:szCs w:val="23"/>
        </w:rPr>
        <w:t xml:space="preserve"> with the opportunity to comment on the activity; and </w:t>
      </w:r>
    </w:p>
    <w:p w14:paraId="02711728" w14:textId="77777777" w:rsidR="00DF6FEE" w:rsidRPr="002F50F4" w:rsidRDefault="00DF6FEE" w:rsidP="00DF6FEE">
      <w:pPr>
        <w:pStyle w:val="Default"/>
        <w:numPr>
          <w:ilvl w:val="0"/>
          <w:numId w:val="7"/>
        </w:numPr>
        <w:rPr>
          <w:rFonts w:ascii="Gill Sans MT" w:hAnsi="Gill Sans MT"/>
          <w:sz w:val="23"/>
          <w:szCs w:val="23"/>
        </w:rPr>
      </w:pPr>
      <w:r w:rsidRPr="002F50F4">
        <w:rPr>
          <w:rFonts w:ascii="Gill Sans MT" w:hAnsi="Gill Sans MT"/>
          <w:sz w:val="23"/>
          <w:szCs w:val="23"/>
        </w:rPr>
        <w:t xml:space="preserve">Consider comments received. </w:t>
      </w:r>
    </w:p>
    <w:p w14:paraId="47920AC2" w14:textId="77777777" w:rsidR="00DF6FEE" w:rsidRPr="002F50F4" w:rsidRDefault="00DF6FEE" w:rsidP="00DF6FEE">
      <w:pPr>
        <w:pStyle w:val="Default"/>
        <w:rPr>
          <w:rFonts w:ascii="Gill Sans MT" w:hAnsi="Gill Sans MT"/>
          <w:sz w:val="23"/>
          <w:szCs w:val="23"/>
        </w:rPr>
      </w:pPr>
    </w:p>
    <w:p w14:paraId="48B39B48" w14:textId="3526E9F8" w:rsidR="00DF6FEE" w:rsidRPr="002F50F4" w:rsidRDefault="00DF6FEE" w:rsidP="00DF6FEE">
      <w:pPr>
        <w:pStyle w:val="Default"/>
        <w:rPr>
          <w:rFonts w:ascii="Gill Sans MT" w:hAnsi="Gill Sans MT"/>
          <w:sz w:val="23"/>
          <w:szCs w:val="23"/>
        </w:rPr>
      </w:pPr>
      <w:r w:rsidRPr="002F50F4">
        <w:rPr>
          <w:rFonts w:ascii="Gill Sans MT" w:hAnsi="Gill Sans MT"/>
          <w:sz w:val="23"/>
          <w:szCs w:val="23"/>
        </w:rPr>
        <w:t xml:space="preserve">I have today sent a notification to the </w:t>
      </w:r>
      <w:proofErr w:type="spellStart"/>
      <w:r w:rsidR="002C37DF">
        <w:rPr>
          <w:rFonts w:ascii="Gill Sans MT" w:hAnsi="Gill Sans MT"/>
          <w:sz w:val="23"/>
          <w:szCs w:val="23"/>
        </w:rPr>
        <w:t>Djaara</w:t>
      </w:r>
      <w:proofErr w:type="spellEnd"/>
      <w:r w:rsidRPr="002F50F4">
        <w:rPr>
          <w:rFonts w:ascii="Gill Sans MT" w:hAnsi="Gill Sans MT"/>
          <w:sz w:val="23"/>
          <w:szCs w:val="23"/>
        </w:rPr>
        <w:t xml:space="preserve"> advising of the activity. A period of at least 28 days is provided for them to comment. I will contact you again after this period has expired.</w:t>
      </w:r>
    </w:p>
    <w:p w14:paraId="2D58EBBB" w14:textId="77777777" w:rsidR="00DF6FEE" w:rsidRPr="002F50F4" w:rsidRDefault="00DF6FEE" w:rsidP="00DF6FEE">
      <w:pPr>
        <w:pStyle w:val="Default"/>
        <w:rPr>
          <w:rFonts w:ascii="Gill Sans MT" w:hAnsi="Gill Sans MT"/>
          <w:sz w:val="23"/>
          <w:szCs w:val="23"/>
        </w:rPr>
      </w:pPr>
    </w:p>
    <w:p w14:paraId="47581EDA" w14:textId="2C70609F" w:rsidR="00DF6FEE" w:rsidRPr="002F50F4" w:rsidRDefault="00DF6FEE" w:rsidP="00DF6FEE">
      <w:pPr>
        <w:autoSpaceDE w:val="0"/>
        <w:autoSpaceDN w:val="0"/>
        <w:adjustRightInd w:val="0"/>
        <w:rPr>
          <w:rFonts w:ascii="Gill Sans MT" w:hAnsi="Gill Sans MT"/>
          <w:sz w:val="23"/>
          <w:szCs w:val="23"/>
        </w:rPr>
      </w:pPr>
      <w:r w:rsidRPr="002F50F4">
        <w:rPr>
          <w:rFonts w:ascii="Gill Sans MT" w:hAnsi="Gill Sans MT"/>
          <w:sz w:val="23"/>
          <w:szCs w:val="23"/>
        </w:rPr>
        <w:t xml:space="preserve">Enclosed is a </w:t>
      </w:r>
      <w:r w:rsidR="00A42169">
        <w:rPr>
          <w:rFonts w:ascii="Gill Sans MT" w:hAnsi="Gill Sans MT"/>
          <w:sz w:val="23"/>
          <w:szCs w:val="23"/>
        </w:rPr>
        <w:t>f</w:t>
      </w:r>
      <w:r w:rsidRPr="002F50F4">
        <w:rPr>
          <w:rFonts w:ascii="Gill Sans MT" w:hAnsi="Gill Sans MT"/>
          <w:sz w:val="23"/>
          <w:szCs w:val="23"/>
        </w:rPr>
        <w:t xml:space="preserve">act </w:t>
      </w:r>
      <w:r w:rsidR="00A42169">
        <w:rPr>
          <w:rFonts w:ascii="Gill Sans MT" w:hAnsi="Gill Sans MT"/>
          <w:sz w:val="23"/>
          <w:szCs w:val="23"/>
        </w:rPr>
        <w:t>s</w:t>
      </w:r>
      <w:r w:rsidRPr="002F50F4">
        <w:rPr>
          <w:rFonts w:ascii="Gill Sans MT" w:hAnsi="Gill Sans MT"/>
          <w:sz w:val="23"/>
          <w:szCs w:val="23"/>
        </w:rPr>
        <w:t xml:space="preserve">heet on the Dja </w:t>
      </w:r>
      <w:proofErr w:type="spellStart"/>
      <w:r w:rsidRPr="002F50F4">
        <w:rPr>
          <w:rFonts w:ascii="Gill Sans MT" w:hAnsi="Gill Sans MT"/>
          <w:sz w:val="23"/>
          <w:szCs w:val="23"/>
        </w:rPr>
        <w:t>Dja</w:t>
      </w:r>
      <w:proofErr w:type="spellEnd"/>
      <w:r w:rsidRPr="002F50F4">
        <w:rPr>
          <w:rFonts w:ascii="Gill Sans MT" w:hAnsi="Gill Sans MT"/>
          <w:sz w:val="23"/>
          <w:szCs w:val="23"/>
        </w:rPr>
        <w:t xml:space="preserve"> Wurrung settlement. If you would like to find out more on the </w:t>
      </w:r>
      <w:r w:rsidR="002C37DF">
        <w:rPr>
          <w:rFonts w:ascii="Gill Sans MT" w:hAnsi="Gill Sans MT"/>
          <w:sz w:val="23"/>
          <w:szCs w:val="23"/>
        </w:rPr>
        <w:t>LUAA</w:t>
      </w:r>
      <w:r w:rsidRPr="002F50F4">
        <w:rPr>
          <w:rFonts w:ascii="Gill Sans MT" w:hAnsi="Gill Sans MT"/>
          <w:sz w:val="23"/>
          <w:szCs w:val="23"/>
        </w:rPr>
        <w:t xml:space="preserve"> please </w:t>
      </w:r>
      <w:r w:rsidR="00A42169">
        <w:rPr>
          <w:rFonts w:ascii="Gill Sans MT" w:hAnsi="Gill Sans MT"/>
          <w:sz w:val="23"/>
          <w:szCs w:val="23"/>
        </w:rPr>
        <w:t>visit</w:t>
      </w:r>
      <w:r w:rsidR="003B5742">
        <w:rPr>
          <w:rFonts w:ascii="Gill Sans MT" w:hAnsi="Gill Sans MT"/>
          <w:sz w:val="23"/>
          <w:szCs w:val="23"/>
        </w:rPr>
        <w:t xml:space="preserve"> the </w:t>
      </w:r>
      <w:hyperlink r:id="rId7" w:history="1">
        <w:r w:rsidR="003B5742" w:rsidRPr="003B5742">
          <w:rPr>
            <w:rStyle w:val="Hyperlink"/>
            <w:rFonts w:ascii="Gill Sans MT" w:hAnsi="Gill Sans MT"/>
            <w:sz w:val="23"/>
            <w:szCs w:val="23"/>
          </w:rPr>
          <w:t>online guidance materials</w:t>
        </w:r>
      </w:hyperlink>
      <w:r w:rsidRPr="002F50F4">
        <w:rPr>
          <w:rFonts w:ascii="Gill Sans MT" w:hAnsi="Gill Sans MT"/>
          <w:sz w:val="23"/>
          <w:szCs w:val="23"/>
        </w:rPr>
        <w:t>.</w:t>
      </w:r>
    </w:p>
    <w:p w14:paraId="1AA47AB2" w14:textId="77777777" w:rsidR="00DF6FEE" w:rsidRPr="002F50F4" w:rsidRDefault="00DF6FEE" w:rsidP="00DF6FEE">
      <w:pPr>
        <w:autoSpaceDE w:val="0"/>
        <w:autoSpaceDN w:val="0"/>
        <w:adjustRightInd w:val="0"/>
        <w:rPr>
          <w:rFonts w:ascii="Gill Sans MT" w:hAnsi="Gill Sans MT" w:cs="Gill Sans MT"/>
          <w:sz w:val="23"/>
          <w:szCs w:val="23"/>
          <w:lang w:val="en-AU" w:eastAsia="en-AU"/>
        </w:rPr>
      </w:pPr>
    </w:p>
    <w:p w14:paraId="3303CEEA" w14:textId="77777777" w:rsidR="00F62EC1" w:rsidRPr="002F50F4" w:rsidRDefault="00DF6FEE" w:rsidP="00D9456D">
      <w:pPr>
        <w:jc w:val="both"/>
        <w:rPr>
          <w:rFonts w:ascii="Gill Sans MT" w:hAnsi="Gill Sans MT" w:cs="Gill Sans MT"/>
          <w:sz w:val="23"/>
          <w:szCs w:val="23"/>
          <w:lang w:val="en-AU" w:eastAsia="en-AU"/>
        </w:rPr>
      </w:pPr>
      <w:r w:rsidRPr="002F50F4">
        <w:rPr>
          <w:rFonts w:ascii="Gill Sans MT" w:hAnsi="Gill Sans MT" w:cs="Gill Sans MT"/>
          <w:sz w:val="23"/>
          <w:szCs w:val="23"/>
          <w:lang w:val="en-AU" w:eastAsia="en-AU"/>
        </w:rPr>
        <w:t xml:space="preserve">Should you require further information regarding this project, please </w:t>
      </w:r>
      <w:r w:rsidR="006D4947">
        <w:rPr>
          <w:rFonts w:ascii="Gill Sans MT" w:hAnsi="Gill Sans MT" w:cs="Gill Sans MT"/>
          <w:sz w:val="23"/>
          <w:szCs w:val="23"/>
          <w:lang w:val="en-AU" w:eastAsia="en-AU"/>
        </w:rPr>
        <w:t>me</w:t>
      </w:r>
      <w:r w:rsidRPr="002F50F4">
        <w:rPr>
          <w:rFonts w:ascii="Gill Sans MT" w:hAnsi="Gill Sans MT" w:cs="Gill Sans MT"/>
          <w:sz w:val="23"/>
          <w:szCs w:val="23"/>
          <w:lang w:val="en-AU" w:eastAsia="en-AU"/>
        </w:rPr>
        <w:t xml:space="preserve"> on </w:t>
      </w:r>
      <w:r w:rsidR="006D4947">
        <w:rPr>
          <w:rFonts w:ascii="Gill Sans MT" w:hAnsi="Gill Sans MT" w:cs="Gill Sans MT"/>
          <w:sz w:val="23"/>
          <w:szCs w:val="23"/>
          <w:highlight w:val="yellow"/>
          <w:lang w:val="en-AU" w:eastAsia="en-AU"/>
        </w:rPr>
        <w:t>{phone number}</w:t>
      </w:r>
      <w:r w:rsidR="006D4947" w:rsidRPr="00D53BF4">
        <w:rPr>
          <w:rFonts w:ascii="Gill Sans MT" w:hAnsi="Gill Sans MT" w:cs="Gill Sans MT"/>
          <w:sz w:val="23"/>
          <w:szCs w:val="23"/>
          <w:highlight w:val="yellow"/>
          <w:lang w:val="en-AU" w:eastAsia="en-AU"/>
        </w:rPr>
        <w:t xml:space="preserve"> or emai</w:t>
      </w:r>
      <w:r w:rsidR="006D4947">
        <w:rPr>
          <w:rFonts w:ascii="Gill Sans MT" w:hAnsi="Gill Sans MT" w:cs="Gill Sans MT"/>
          <w:sz w:val="23"/>
          <w:szCs w:val="23"/>
          <w:highlight w:val="yellow"/>
          <w:lang w:val="en-AU" w:eastAsia="en-AU"/>
        </w:rPr>
        <w:t>l {email address}</w:t>
      </w:r>
      <w:r w:rsidR="006D4947">
        <w:rPr>
          <w:rFonts w:ascii="Gill Sans MT" w:hAnsi="Gill Sans MT" w:cs="Gill Sans MT"/>
          <w:sz w:val="23"/>
          <w:szCs w:val="23"/>
          <w:lang w:val="en-AU" w:eastAsia="en-AU"/>
        </w:rPr>
        <w:t>.</w:t>
      </w:r>
    </w:p>
    <w:p w14:paraId="3425AF17" w14:textId="77777777" w:rsidR="00F62EC1" w:rsidRPr="002F50F4" w:rsidRDefault="00F62EC1" w:rsidP="00D9456D">
      <w:pPr>
        <w:jc w:val="both"/>
        <w:rPr>
          <w:rFonts w:ascii="Gill Sans MT" w:hAnsi="Gill Sans MT"/>
          <w:sz w:val="23"/>
          <w:szCs w:val="23"/>
        </w:rPr>
      </w:pPr>
    </w:p>
    <w:p w14:paraId="24BAD528" w14:textId="77777777" w:rsidR="00DF6FEE" w:rsidRPr="002F50F4" w:rsidRDefault="00DF6FEE" w:rsidP="00D9456D">
      <w:pPr>
        <w:jc w:val="both"/>
        <w:rPr>
          <w:rFonts w:ascii="Gill Sans MT" w:hAnsi="Gill Sans MT"/>
          <w:sz w:val="23"/>
          <w:szCs w:val="23"/>
        </w:rPr>
      </w:pPr>
    </w:p>
    <w:p w14:paraId="2E90242B" w14:textId="77777777" w:rsidR="00F62EC1" w:rsidRPr="002F50F4" w:rsidRDefault="00F62EC1" w:rsidP="00D9456D">
      <w:pPr>
        <w:jc w:val="both"/>
        <w:rPr>
          <w:rFonts w:ascii="Gill Sans MT" w:hAnsi="Gill Sans MT" w:cs="Tahoma"/>
          <w:sz w:val="23"/>
          <w:szCs w:val="23"/>
        </w:rPr>
      </w:pPr>
      <w:r w:rsidRPr="002F50F4">
        <w:rPr>
          <w:rFonts w:ascii="Gill Sans MT" w:hAnsi="Gill Sans MT" w:cs="Tahoma"/>
          <w:sz w:val="23"/>
          <w:szCs w:val="23"/>
        </w:rPr>
        <w:t>Yours sincerely,</w:t>
      </w:r>
    </w:p>
    <w:p w14:paraId="6AC847C8" w14:textId="77777777" w:rsidR="00F62EC1" w:rsidRPr="002F50F4" w:rsidRDefault="00F62EC1" w:rsidP="00F62EC1">
      <w:pPr>
        <w:ind w:right="-497"/>
        <w:jc w:val="both"/>
        <w:rPr>
          <w:rFonts w:ascii="Gill Sans MT" w:hAnsi="Gill Sans MT" w:cs="Tahoma"/>
          <w:sz w:val="23"/>
          <w:szCs w:val="23"/>
        </w:rPr>
      </w:pPr>
    </w:p>
    <w:p w14:paraId="2076AC69" w14:textId="77777777" w:rsidR="00F62EC1" w:rsidRPr="002F50F4" w:rsidRDefault="00F62EC1" w:rsidP="00F62EC1">
      <w:pPr>
        <w:ind w:left="-284"/>
        <w:rPr>
          <w:rFonts w:ascii="Gill Sans MT" w:hAnsi="Gill Sans MT"/>
          <w:sz w:val="23"/>
          <w:szCs w:val="23"/>
          <w:highlight w:val="yellow"/>
          <w:lang w:val="en-AU"/>
        </w:rPr>
      </w:pPr>
    </w:p>
    <w:p w14:paraId="03C0E93A" w14:textId="77777777" w:rsidR="006D4947" w:rsidRPr="00D9456D" w:rsidRDefault="006D4947" w:rsidP="006D4947">
      <w:pPr>
        <w:rPr>
          <w:rFonts w:ascii="Gill Sans MT" w:hAnsi="Gill Sans MT"/>
          <w:b/>
          <w:sz w:val="23"/>
          <w:szCs w:val="23"/>
          <w:lang w:val="en-AU"/>
        </w:rPr>
      </w:pPr>
      <w:r w:rsidRPr="005D22AD">
        <w:rPr>
          <w:rFonts w:ascii="Gill Sans MT" w:hAnsi="Gill Sans MT"/>
          <w:b/>
          <w:sz w:val="23"/>
          <w:szCs w:val="23"/>
          <w:highlight w:val="yellow"/>
          <w:lang w:val="en-AU"/>
        </w:rPr>
        <w:t>{Name and role}</w:t>
      </w:r>
    </w:p>
    <w:p w14:paraId="1AC00893" w14:textId="77777777" w:rsidR="00DF6FEE" w:rsidRDefault="00DF6FEE" w:rsidP="00DF6FEE">
      <w:pPr>
        <w:rPr>
          <w:lang w:val="en-AU" w:eastAsia="en-AU"/>
        </w:rPr>
      </w:pPr>
    </w:p>
    <w:p w14:paraId="5415B336" w14:textId="77777777" w:rsidR="00DF6FEE" w:rsidRPr="00DF6FEE" w:rsidRDefault="00DF6FEE" w:rsidP="00DF6FEE">
      <w:pPr>
        <w:rPr>
          <w:lang w:val="en-AU" w:eastAsia="en-AU"/>
        </w:rPr>
      </w:pPr>
    </w:p>
    <w:p w14:paraId="5F890737" w14:textId="77777777" w:rsidR="00DF6FEE" w:rsidRDefault="00DF6FEE" w:rsidP="00DF6FEE">
      <w:pPr>
        <w:rPr>
          <w:lang w:val="en-AU" w:eastAsia="en-AU"/>
        </w:rPr>
      </w:pPr>
    </w:p>
    <w:p w14:paraId="26E6B8B3" w14:textId="77777777" w:rsidR="00DF6FEE" w:rsidRDefault="00DF6FEE" w:rsidP="00DF6FEE">
      <w:pPr>
        <w:rPr>
          <w:lang w:val="en-AU" w:eastAsia="en-AU"/>
        </w:rPr>
      </w:pPr>
    </w:p>
    <w:p w14:paraId="7C487E32" w14:textId="77777777" w:rsidR="00DF6FEE" w:rsidRDefault="00DF6FEE" w:rsidP="00DF6FEE">
      <w:pPr>
        <w:tabs>
          <w:tab w:val="left" w:pos="6885"/>
        </w:tabs>
        <w:rPr>
          <w:lang w:val="en-AU" w:eastAsia="en-AU"/>
        </w:rPr>
        <w:sectPr w:rsidR="00DF6FEE" w:rsidSect="004233C0">
          <w:headerReference w:type="default" r:id="rId8"/>
          <w:footerReference w:type="default" r:id="rId9"/>
          <w:pgSz w:w="11907" w:h="16840" w:code="9"/>
          <w:pgMar w:top="851" w:right="1077" w:bottom="426" w:left="1134" w:header="425" w:footer="414" w:gutter="0"/>
          <w:paperSrc w:first="7" w:other="7"/>
          <w:cols w:space="708"/>
          <w:docGrid w:linePitch="360"/>
        </w:sectPr>
      </w:pPr>
    </w:p>
    <w:p w14:paraId="041E35D6" w14:textId="77777777" w:rsidR="00DF6FEE" w:rsidRPr="009A55A3" w:rsidRDefault="00DF6FEE" w:rsidP="00DF6FEE">
      <w:pPr>
        <w:autoSpaceDE w:val="0"/>
        <w:autoSpaceDN w:val="0"/>
        <w:adjustRightInd w:val="0"/>
        <w:jc w:val="center"/>
        <w:rPr>
          <w:rFonts w:ascii="Gill Sans MT" w:hAnsi="Gill Sans MT" w:cs="Arial"/>
          <w:color w:val="000000"/>
          <w:sz w:val="72"/>
          <w:szCs w:val="72"/>
          <w:lang w:val="en-AU" w:eastAsia="en-AU"/>
        </w:rPr>
      </w:pPr>
      <w:r w:rsidRPr="009A55A3">
        <w:rPr>
          <w:rFonts w:ascii="Gill Sans MT" w:hAnsi="Gill Sans MT" w:cs="Arial"/>
          <w:b/>
          <w:bCs/>
          <w:color w:val="000000"/>
          <w:sz w:val="72"/>
          <w:szCs w:val="72"/>
          <w:lang w:val="en-AU" w:eastAsia="en-AU"/>
        </w:rPr>
        <w:lastRenderedPageBreak/>
        <w:t>Fact sheet</w:t>
      </w:r>
    </w:p>
    <w:p w14:paraId="1603F4FD" w14:textId="77777777" w:rsidR="009B1521" w:rsidRDefault="009B1521" w:rsidP="009B1521">
      <w:pPr>
        <w:autoSpaceDE w:val="0"/>
        <w:autoSpaceDN w:val="0"/>
        <w:adjustRightInd w:val="0"/>
        <w:ind w:left="284" w:right="340"/>
        <w:jc w:val="center"/>
        <w:rPr>
          <w:rFonts w:ascii="Gill Sans MT" w:hAnsi="Gill Sans MT" w:cs="Arial"/>
          <w:b/>
          <w:bCs/>
          <w:color w:val="000000"/>
          <w:sz w:val="23"/>
          <w:szCs w:val="23"/>
          <w:lang w:val="en-AU" w:eastAsia="en-AU"/>
        </w:rPr>
      </w:pPr>
    </w:p>
    <w:p w14:paraId="30DA41C3" w14:textId="77777777" w:rsidR="00DF6FEE" w:rsidRPr="00DF6FEE" w:rsidRDefault="00DF6FEE" w:rsidP="009A55A3">
      <w:pPr>
        <w:autoSpaceDE w:val="0"/>
        <w:autoSpaceDN w:val="0"/>
        <w:adjustRightInd w:val="0"/>
        <w:ind w:left="284" w:right="57"/>
        <w:jc w:val="center"/>
        <w:rPr>
          <w:rFonts w:ascii="Gill Sans MT" w:hAnsi="Gill Sans MT" w:cs="Arial"/>
          <w:color w:val="000000"/>
          <w:sz w:val="23"/>
          <w:szCs w:val="23"/>
          <w:lang w:val="en-AU" w:eastAsia="en-AU"/>
        </w:rPr>
      </w:pPr>
      <w:r w:rsidRPr="002C37DF">
        <w:rPr>
          <w:rFonts w:ascii="Gill Sans MT" w:hAnsi="Gill Sans MT" w:cs="Arial"/>
          <w:b/>
          <w:bCs/>
          <w:smallCaps/>
          <w:color w:val="000000"/>
          <w:sz w:val="23"/>
          <w:szCs w:val="23"/>
          <w:lang w:val="en-AU" w:eastAsia="en-AU"/>
        </w:rPr>
        <w:t xml:space="preserve">SETTLEMENT BETWEEN THE DJA </w:t>
      </w:r>
      <w:proofErr w:type="spellStart"/>
      <w:r w:rsidRPr="002C37DF">
        <w:rPr>
          <w:rFonts w:ascii="Gill Sans MT" w:hAnsi="Gill Sans MT" w:cs="Arial"/>
          <w:b/>
          <w:bCs/>
          <w:smallCaps/>
          <w:color w:val="000000"/>
          <w:sz w:val="23"/>
          <w:szCs w:val="23"/>
          <w:lang w:val="en-AU" w:eastAsia="en-AU"/>
        </w:rPr>
        <w:t>DJA</w:t>
      </w:r>
      <w:proofErr w:type="spellEnd"/>
      <w:r w:rsidRPr="002C37DF">
        <w:rPr>
          <w:rFonts w:ascii="Gill Sans MT" w:hAnsi="Gill Sans MT" w:cs="Arial"/>
          <w:b/>
          <w:bCs/>
          <w:smallCaps/>
          <w:color w:val="000000"/>
          <w:sz w:val="23"/>
          <w:szCs w:val="23"/>
          <w:lang w:val="en-AU" w:eastAsia="en-AU"/>
        </w:rPr>
        <w:t xml:space="preserve"> WURRUNG TRADITIONAL OWNER GROUP AND</w:t>
      </w:r>
      <w:r w:rsidRPr="00DF6FEE">
        <w:rPr>
          <w:rFonts w:ascii="Gill Sans MT" w:hAnsi="Gill Sans MT" w:cs="Arial"/>
          <w:b/>
          <w:bCs/>
          <w:color w:val="000000"/>
          <w:sz w:val="23"/>
          <w:szCs w:val="23"/>
          <w:lang w:val="en-AU" w:eastAsia="en-AU"/>
        </w:rPr>
        <w:t xml:space="preserve"> THE STATE OF VICTORIA</w:t>
      </w:r>
    </w:p>
    <w:p w14:paraId="32B50C0F" w14:textId="77777777" w:rsidR="009B1521" w:rsidRPr="009A55A3" w:rsidRDefault="009B1521" w:rsidP="009A55A3">
      <w:pPr>
        <w:autoSpaceDE w:val="0"/>
        <w:autoSpaceDN w:val="0"/>
        <w:adjustRightInd w:val="0"/>
        <w:ind w:right="57"/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</w:p>
    <w:p w14:paraId="669C6B8C" w14:textId="3299BAB7" w:rsidR="009A55A3" w:rsidRPr="009A55A3" w:rsidRDefault="009A55A3" w:rsidP="009A55A3">
      <w:pPr>
        <w:autoSpaceDE w:val="0"/>
        <w:autoSpaceDN w:val="0"/>
        <w:adjustRightInd w:val="0"/>
        <w:spacing w:after="120"/>
        <w:ind w:left="284" w:right="57"/>
        <w:rPr>
          <w:rFonts w:ascii="Gill Sans MT" w:hAnsi="Gill Sans MT"/>
          <w:sz w:val="22"/>
          <w:szCs w:val="22"/>
        </w:rPr>
      </w:pPr>
      <w:r w:rsidRPr="009A55A3">
        <w:rPr>
          <w:rFonts w:ascii="Gill Sans MT" w:hAnsi="Gill Sans MT"/>
          <w:sz w:val="22"/>
          <w:szCs w:val="22"/>
        </w:rPr>
        <w:t xml:space="preserve">The Victorian Government and the Dja </w:t>
      </w:r>
      <w:proofErr w:type="spellStart"/>
      <w:r w:rsidRPr="009A55A3">
        <w:rPr>
          <w:rFonts w:ascii="Gill Sans MT" w:hAnsi="Gill Sans MT"/>
          <w:sz w:val="22"/>
          <w:szCs w:val="22"/>
        </w:rPr>
        <w:t>Dja</w:t>
      </w:r>
      <w:proofErr w:type="spellEnd"/>
      <w:r w:rsidRPr="009A55A3">
        <w:rPr>
          <w:rFonts w:ascii="Gill Sans MT" w:hAnsi="Gill Sans MT"/>
          <w:sz w:val="22"/>
          <w:szCs w:val="22"/>
        </w:rPr>
        <w:t xml:space="preserve"> Wurrung Clans Aboriginal Corporation (DDWCAC), on behalf of the Dja </w:t>
      </w:r>
      <w:proofErr w:type="spellStart"/>
      <w:r w:rsidRPr="009A55A3">
        <w:rPr>
          <w:rFonts w:ascii="Gill Sans MT" w:hAnsi="Gill Sans MT"/>
          <w:sz w:val="22"/>
          <w:szCs w:val="22"/>
        </w:rPr>
        <w:t>Dja</w:t>
      </w:r>
      <w:proofErr w:type="spellEnd"/>
      <w:r w:rsidRPr="009A55A3">
        <w:rPr>
          <w:rFonts w:ascii="Gill Sans MT" w:hAnsi="Gill Sans MT"/>
          <w:sz w:val="22"/>
          <w:szCs w:val="22"/>
        </w:rPr>
        <w:t xml:space="preserve"> Wurrung Traditional Owner group, entered into a </w:t>
      </w:r>
      <w:r w:rsidRPr="009A55A3">
        <w:rPr>
          <w:rFonts w:ascii="Gill Sans MT" w:hAnsi="Gill Sans MT"/>
          <w:b/>
          <w:sz w:val="22"/>
          <w:szCs w:val="22"/>
        </w:rPr>
        <w:t>Recognition and Settlement Agreement</w:t>
      </w:r>
      <w:r w:rsidRPr="009A55A3">
        <w:rPr>
          <w:rFonts w:ascii="Gill Sans MT" w:hAnsi="Gill Sans MT"/>
          <w:sz w:val="22"/>
          <w:szCs w:val="22"/>
        </w:rPr>
        <w:t xml:space="preserve"> </w:t>
      </w:r>
      <w:r w:rsidRPr="009A55A3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under Victoria’s </w:t>
      </w:r>
      <w:r w:rsidRPr="009A55A3">
        <w:rPr>
          <w:rFonts w:ascii="Gill Sans MT" w:hAnsi="Gill Sans MT" w:cs="Arial"/>
          <w:i/>
          <w:iCs/>
          <w:color w:val="000000"/>
          <w:sz w:val="22"/>
          <w:szCs w:val="22"/>
          <w:lang w:val="en-AU" w:eastAsia="en-AU"/>
        </w:rPr>
        <w:t>Traditional Owner Settlement Act 2010</w:t>
      </w:r>
      <w:r w:rsidR="00A42169">
        <w:rPr>
          <w:rFonts w:ascii="Gill Sans MT" w:hAnsi="Gill Sans MT" w:cs="Arial"/>
          <w:iCs/>
          <w:color w:val="000000"/>
          <w:sz w:val="22"/>
          <w:szCs w:val="22"/>
          <w:lang w:val="en-AU" w:eastAsia="en-AU"/>
        </w:rPr>
        <w:t xml:space="preserve"> on 28 March 2013. The agreement </w:t>
      </w:r>
      <w:r w:rsidRPr="009A55A3">
        <w:rPr>
          <w:rFonts w:ascii="Gill Sans MT" w:hAnsi="Gill Sans MT"/>
          <w:sz w:val="22"/>
          <w:szCs w:val="22"/>
        </w:rPr>
        <w:t xml:space="preserve">formally </w:t>
      </w:r>
      <w:r w:rsidRPr="009A55A3">
        <w:rPr>
          <w:rFonts w:ascii="Gill Sans MT" w:hAnsi="Gill Sans MT"/>
          <w:sz w:val="22"/>
          <w:szCs w:val="22"/>
          <w:lang w:val="en-AU"/>
        </w:rPr>
        <w:t>recognise</w:t>
      </w:r>
      <w:r w:rsidR="00A42169">
        <w:rPr>
          <w:rFonts w:ascii="Gill Sans MT" w:hAnsi="Gill Sans MT"/>
          <w:sz w:val="22"/>
          <w:szCs w:val="22"/>
          <w:lang w:val="en-AU"/>
        </w:rPr>
        <w:t>d</w:t>
      </w:r>
      <w:r w:rsidRPr="009A55A3">
        <w:rPr>
          <w:rFonts w:ascii="Gill Sans MT" w:hAnsi="Gill Sans MT"/>
          <w:sz w:val="22"/>
          <w:szCs w:val="22"/>
        </w:rPr>
        <w:t xml:space="preserve"> the Dja </w:t>
      </w:r>
      <w:proofErr w:type="spellStart"/>
      <w:r w:rsidRPr="009A55A3">
        <w:rPr>
          <w:rFonts w:ascii="Gill Sans MT" w:hAnsi="Gill Sans MT"/>
          <w:sz w:val="22"/>
          <w:szCs w:val="22"/>
        </w:rPr>
        <w:t>Dja</w:t>
      </w:r>
      <w:proofErr w:type="spellEnd"/>
      <w:r w:rsidRPr="009A55A3">
        <w:rPr>
          <w:rFonts w:ascii="Gill Sans MT" w:hAnsi="Gill Sans MT"/>
          <w:sz w:val="22"/>
          <w:szCs w:val="22"/>
        </w:rPr>
        <w:t xml:space="preserve"> Wurrung people as the Traditional Owners </w:t>
      </w:r>
      <w:r w:rsidR="00A42169">
        <w:rPr>
          <w:rFonts w:ascii="Gill Sans MT" w:hAnsi="Gill Sans MT"/>
          <w:sz w:val="22"/>
          <w:szCs w:val="22"/>
        </w:rPr>
        <w:t xml:space="preserve">of </w:t>
      </w:r>
      <w:r w:rsidRPr="009A55A3">
        <w:rPr>
          <w:rFonts w:ascii="Gill Sans MT" w:hAnsi="Gill Sans MT" w:cs="Arial"/>
          <w:color w:val="000000"/>
          <w:sz w:val="22"/>
          <w:szCs w:val="22"/>
          <w:lang w:val="en-AU" w:eastAsia="en-AU"/>
        </w:rPr>
        <w:t>approximately 266,532 hectares of public land</w:t>
      </w:r>
      <w:r w:rsidRPr="009A55A3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t>in</w:t>
      </w:r>
      <w:r w:rsidRPr="009A55A3">
        <w:rPr>
          <w:rFonts w:ascii="Gill Sans MT" w:hAnsi="Gill Sans MT"/>
          <w:sz w:val="22"/>
          <w:szCs w:val="22"/>
        </w:rPr>
        <w:t xml:space="preserve"> Central Victoria.</w:t>
      </w:r>
    </w:p>
    <w:p w14:paraId="19D6BA5F" w14:textId="646AFB81" w:rsidR="003D609B" w:rsidRDefault="00DF6FEE" w:rsidP="002C37DF">
      <w:pPr>
        <w:pStyle w:val="ListParagraph"/>
        <w:numPr>
          <w:ilvl w:val="0"/>
          <w:numId w:val="11"/>
        </w:numPr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The settlement resolve</w:t>
      </w:r>
      <w:r w:rsidR="00A42169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d</w:t>
      </w: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 four native </w:t>
      </w:r>
      <w:proofErr w:type="gramStart"/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title</w:t>
      </w:r>
      <w:proofErr w:type="gramEnd"/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 lodged under the Federal </w:t>
      </w:r>
      <w:r w:rsidRPr="002C37DF">
        <w:rPr>
          <w:rFonts w:ascii="Gill Sans MT" w:hAnsi="Gill Sans MT" w:cs="Arial"/>
          <w:i/>
          <w:color w:val="000000"/>
          <w:sz w:val="22"/>
          <w:szCs w:val="22"/>
          <w:lang w:val="en-AU" w:eastAsia="en-AU"/>
        </w:rPr>
        <w:t>Native Title Act 1993</w:t>
      </w: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.</w:t>
      </w:r>
    </w:p>
    <w:p w14:paraId="0A1A9BB0" w14:textId="73A1C270" w:rsidR="00DF6FEE" w:rsidRPr="002C37DF" w:rsidRDefault="003D609B" w:rsidP="002C37DF">
      <w:pPr>
        <w:pStyle w:val="ListParagraph"/>
        <w:numPr>
          <w:ilvl w:val="0"/>
          <w:numId w:val="11"/>
        </w:numPr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  <w:r>
        <w:rPr>
          <w:rFonts w:ascii="Gill Sans MT" w:hAnsi="Gill Sans MT" w:cs="Arial"/>
          <w:color w:val="000000"/>
          <w:sz w:val="22"/>
          <w:szCs w:val="22"/>
          <w:lang w:val="en-AU" w:eastAsia="en-AU"/>
        </w:rPr>
        <w:t>T</w:t>
      </w:r>
      <w:r w:rsidR="00DF6FEE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he Traditional Owner group comprises Aboriginal people who identify as Dja </w:t>
      </w:r>
      <w:proofErr w:type="spellStart"/>
      <w:r w:rsidR="00DF6FEE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Dja</w:t>
      </w:r>
      <w:proofErr w:type="spellEnd"/>
      <w:r w:rsidR="00DF6FEE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 Wurrung and are descended from Aboriginal ancestors associated with Dja </w:t>
      </w:r>
      <w:proofErr w:type="spellStart"/>
      <w:r w:rsidR="00DF6FEE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Dja</w:t>
      </w:r>
      <w:proofErr w:type="spellEnd"/>
      <w:r w:rsidR="00DF6FEE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 Wurrung country in the </w:t>
      </w:r>
      <w:r w:rsidR="00A42169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nineteenth </w:t>
      </w:r>
      <w:r>
        <w:rPr>
          <w:rFonts w:ascii="Gill Sans MT" w:hAnsi="Gill Sans MT" w:cs="Arial"/>
          <w:color w:val="000000"/>
          <w:sz w:val="22"/>
          <w:szCs w:val="22"/>
          <w:lang w:val="en-AU" w:eastAsia="en-AU"/>
        </w:rPr>
        <w:t>c</w:t>
      </w:r>
      <w:r w:rsidR="00DF6FEE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entury. </w:t>
      </w:r>
    </w:p>
    <w:p w14:paraId="39D37825" w14:textId="223C589D" w:rsidR="00DF6FEE" w:rsidRPr="002C37DF" w:rsidRDefault="00DF6FEE" w:rsidP="002C37D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right="57"/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The settlement include</w:t>
      </w:r>
      <w:r w:rsidR="003D609B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d</w:t>
      </w: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 the transfer of two national parks, one regional park, two state parks and one reserve to </w:t>
      </w:r>
      <w:r w:rsidR="003D609B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the category of </w:t>
      </w: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‘</w:t>
      </w:r>
      <w:r w:rsidR="003D609B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A</w:t>
      </w: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boriginal </w:t>
      </w:r>
      <w:r w:rsidR="003D609B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T</w:t>
      </w: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itle’ held by the Dja </w:t>
      </w:r>
      <w:proofErr w:type="spellStart"/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Dja</w:t>
      </w:r>
      <w:proofErr w:type="spellEnd"/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 Wurrung</w:t>
      </w:r>
      <w:r w:rsidR="003D609B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. The parks are</w:t>
      </w:r>
      <w:r w:rsidR="003D609B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 </w:t>
      </w: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jointly managed in perpetuity with the </w:t>
      </w:r>
      <w:r w:rsidR="003D609B">
        <w:rPr>
          <w:rFonts w:ascii="Gill Sans MT" w:hAnsi="Gill Sans MT" w:cs="Arial"/>
          <w:color w:val="000000"/>
          <w:sz w:val="22"/>
          <w:szCs w:val="22"/>
          <w:lang w:val="en-AU" w:eastAsia="en-AU"/>
        </w:rPr>
        <w:t>s</w:t>
      </w: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tate. </w:t>
      </w:r>
    </w:p>
    <w:p w14:paraId="6E01D279" w14:textId="0911E6C6" w:rsidR="00DF6FEE" w:rsidRDefault="00DF6FEE" w:rsidP="002C37D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right="57"/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The agreement also </w:t>
      </w:r>
      <w:r w:rsidR="003D609B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led to the </w:t>
      </w: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transfer of two </w:t>
      </w:r>
      <w:r w:rsidR="0091551B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parcels of public land </w:t>
      </w:r>
      <w:proofErr w:type="gramStart"/>
      <w:r w:rsidR="00814C48">
        <w:rPr>
          <w:rFonts w:ascii="Gill Sans MT" w:hAnsi="Gill Sans MT" w:cs="Arial"/>
          <w:color w:val="000000"/>
          <w:sz w:val="22"/>
          <w:szCs w:val="22"/>
          <w:lang w:val="en-AU" w:eastAsia="en-AU"/>
        </w:rPr>
        <w:t>in order to</w:t>
      </w:r>
      <w:proofErr w:type="gramEnd"/>
      <w:r w:rsidR="00814C48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 make them</w:t>
      </w:r>
      <w:r w:rsidR="0091551B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 </w:t>
      </w: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freehold properties (approximately 56.2 hectares)</w:t>
      </w:r>
      <w:r w:rsidR="0091551B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. </w:t>
      </w:r>
      <w:r w:rsidR="00814C48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Located at </w:t>
      </w:r>
      <w:r w:rsidR="00814C48" w:rsidRPr="000905F8">
        <w:rPr>
          <w:rFonts w:ascii="Gill Sans MT" w:hAnsi="Gill Sans MT" w:cs="Arial"/>
          <w:color w:val="000000"/>
          <w:sz w:val="22"/>
          <w:szCs w:val="22"/>
          <w:lang w:val="en-AU" w:eastAsia="en-AU"/>
        </w:rPr>
        <w:t>Carisbrook and Franklinford</w:t>
      </w:r>
      <w:r w:rsidR="00814C48">
        <w:rPr>
          <w:rFonts w:ascii="Gill Sans MT" w:hAnsi="Gill Sans MT" w:cs="Arial"/>
          <w:color w:val="000000"/>
          <w:sz w:val="22"/>
          <w:szCs w:val="22"/>
          <w:lang w:val="en-AU" w:eastAsia="en-AU"/>
        </w:rPr>
        <w:t>, t</w:t>
      </w:r>
      <w:r w:rsidR="0091551B">
        <w:rPr>
          <w:rFonts w:ascii="Gill Sans MT" w:hAnsi="Gill Sans MT" w:cs="Arial"/>
          <w:color w:val="000000"/>
          <w:sz w:val="22"/>
          <w:szCs w:val="22"/>
          <w:lang w:val="en-AU" w:eastAsia="en-AU"/>
        </w:rPr>
        <w:t>hese were</w:t>
      </w:r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 of </w:t>
      </w:r>
      <w:proofErr w:type="gramStart"/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particular cultural</w:t>
      </w:r>
      <w:proofErr w:type="gramEnd"/>
      <w:r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 significance. </w:t>
      </w:r>
      <w:r w:rsidR="003D609B" w:rsidRPr="002C37DF">
        <w:rPr>
          <w:rFonts w:ascii="Gill Sans MT" w:hAnsi="Gill Sans MT" w:cs="Arial"/>
          <w:bCs/>
          <w:color w:val="000000"/>
          <w:sz w:val="22"/>
          <w:szCs w:val="22"/>
          <w:lang w:val="en-AU" w:eastAsia="en-AU"/>
        </w:rPr>
        <w:t>The agreement does not otherwise affect freehold land</w:t>
      </w:r>
      <w:r w:rsidR="003D609B" w:rsidRPr="002C37DF">
        <w:rPr>
          <w:rFonts w:ascii="Gill Sans MT" w:hAnsi="Gill Sans MT" w:cs="Arial"/>
          <w:color w:val="000000"/>
          <w:sz w:val="22"/>
          <w:szCs w:val="22"/>
          <w:lang w:val="en-AU" w:eastAsia="en-AU"/>
        </w:rPr>
        <w:t>.</w:t>
      </w:r>
    </w:p>
    <w:p w14:paraId="746CF9EF" w14:textId="32228CA5" w:rsidR="00353DA0" w:rsidRPr="002C37DF" w:rsidRDefault="00353DA0" w:rsidP="002C37D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ind w:right="57"/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  <w:r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The financial value of the settlement package was $9.65 million. This included: an investment to provide an annual income to the corporation, capital for economic development opportunities, and funding to otherwise assist the corporation in meeting settlement obligations. </w:t>
      </w:r>
    </w:p>
    <w:p w14:paraId="56F451B5" w14:textId="4937DDD2" w:rsidR="00DF6FEE" w:rsidRPr="009A55A3" w:rsidRDefault="00DF6FEE" w:rsidP="009A55A3">
      <w:pPr>
        <w:autoSpaceDE w:val="0"/>
        <w:autoSpaceDN w:val="0"/>
        <w:adjustRightInd w:val="0"/>
        <w:spacing w:after="120"/>
        <w:ind w:left="284" w:right="57"/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</w:p>
    <w:p w14:paraId="49DA8210" w14:textId="0361ABCB" w:rsidR="009A55A3" w:rsidRPr="009A55A3" w:rsidRDefault="009A55A3" w:rsidP="009A55A3">
      <w:pPr>
        <w:autoSpaceDE w:val="0"/>
        <w:autoSpaceDN w:val="0"/>
        <w:adjustRightInd w:val="0"/>
        <w:spacing w:after="120"/>
        <w:ind w:left="284" w:right="57"/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  <w:r w:rsidRPr="009A55A3">
        <w:rPr>
          <w:rFonts w:ascii="Gill Sans MT" w:hAnsi="Gill Sans MT"/>
          <w:b/>
          <w:sz w:val="22"/>
          <w:szCs w:val="22"/>
        </w:rPr>
        <w:t>The DDWCAC Land Use Activity Agreement (LUAA) is a sub agreement to the Recognition and Settlement Agreement.</w:t>
      </w:r>
      <w:r w:rsidRPr="009A55A3">
        <w:rPr>
          <w:rFonts w:ascii="Gill Sans MT" w:hAnsi="Gill Sans MT"/>
          <w:sz w:val="22"/>
          <w:szCs w:val="22"/>
        </w:rPr>
        <w:t xml:space="preserve"> T</w:t>
      </w:r>
      <w:r w:rsidR="00353DA0">
        <w:rPr>
          <w:rFonts w:ascii="Gill Sans MT" w:hAnsi="Gill Sans MT"/>
          <w:sz w:val="22"/>
          <w:szCs w:val="22"/>
        </w:rPr>
        <w:t xml:space="preserve">he </w:t>
      </w:r>
      <w:r w:rsidRPr="009A55A3">
        <w:rPr>
          <w:rFonts w:ascii="Gill Sans MT" w:hAnsi="Gill Sans MT"/>
          <w:sz w:val="22"/>
          <w:szCs w:val="22"/>
        </w:rPr>
        <w:t>State of Victoria and DDWCAC</w:t>
      </w:r>
      <w:r w:rsidR="003D609B">
        <w:rPr>
          <w:rFonts w:ascii="Gill Sans MT" w:hAnsi="Gill Sans MT"/>
          <w:sz w:val="22"/>
          <w:szCs w:val="22"/>
        </w:rPr>
        <w:t xml:space="preserve"> </w:t>
      </w:r>
      <w:r w:rsidR="00353DA0">
        <w:rPr>
          <w:rFonts w:ascii="Gill Sans MT" w:hAnsi="Gill Sans MT"/>
          <w:sz w:val="22"/>
          <w:szCs w:val="22"/>
        </w:rPr>
        <w:t xml:space="preserve">negotiated the LUAA, which </w:t>
      </w:r>
      <w:r w:rsidR="003D609B">
        <w:rPr>
          <w:rFonts w:ascii="Gill Sans MT" w:hAnsi="Gill Sans MT"/>
          <w:sz w:val="22"/>
          <w:szCs w:val="22"/>
        </w:rPr>
        <w:t>came into force on 25 October 2013</w:t>
      </w:r>
      <w:r w:rsidRPr="009A55A3">
        <w:rPr>
          <w:rFonts w:ascii="Gill Sans MT" w:hAnsi="Gill Sans MT"/>
          <w:sz w:val="22"/>
          <w:szCs w:val="22"/>
        </w:rPr>
        <w:t xml:space="preserve">. It aims to simplify and </w:t>
      </w:r>
      <w:r w:rsidRPr="009A55A3">
        <w:rPr>
          <w:rFonts w:ascii="Gill Sans MT" w:hAnsi="Gill Sans MT"/>
          <w:sz w:val="22"/>
          <w:szCs w:val="22"/>
          <w:lang w:val="en-AU"/>
        </w:rPr>
        <w:t>categorise</w:t>
      </w:r>
      <w:r w:rsidRPr="009A55A3">
        <w:rPr>
          <w:rFonts w:ascii="Gill Sans MT" w:hAnsi="Gill Sans MT"/>
          <w:sz w:val="22"/>
          <w:szCs w:val="22"/>
        </w:rPr>
        <w:t xml:space="preserve"> activities that take place on public land that may affect traditional </w:t>
      </w:r>
      <w:r w:rsidR="003D609B">
        <w:rPr>
          <w:rFonts w:ascii="Gill Sans MT" w:hAnsi="Gill Sans MT"/>
          <w:sz w:val="22"/>
          <w:szCs w:val="22"/>
        </w:rPr>
        <w:t xml:space="preserve">owner </w:t>
      </w:r>
      <w:proofErr w:type="gramStart"/>
      <w:r w:rsidRPr="009A55A3">
        <w:rPr>
          <w:rFonts w:ascii="Gill Sans MT" w:hAnsi="Gill Sans MT"/>
          <w:sz w:val="22"/>
          <w:szCs w:val="22"/>
        </w:rPr>
        <w:t>rights, and</w:t>
      </w:r>
      <w:proofErr w:type="gramEnd"/>
      <w:r w:rsidRPr="009A55A3">
        <w:rPr>
          <w:rFonts w:ascii="Gill Sans MT" w:hAnsi="Gill Sans MT"/>
          <w:sz w:val="22"/>
          <w:szCs w:val="22"/>
        </w:rPr>
        <w:t xml:space="preserve"> puts in place a system to ensure they are adequately consulted with and engaged when a </w:t>
      </w:r>
      <w:r w:rsidR="00353DA0">
        <w:rPr>
          <w:rFonts w:ascii="Gill Sans MT" w:hAnsi="Gill Sans MT"/>
          <w:sz w:val="22"/>
          <w:szCs w:val="22"/>
        </w:rPr>
        <w:t xml:space="preserve">proposed </w:t>
      </w:r>
      <w:r w:rsidRPr="009A55A3">
        <w:rPr>
          <w:rFonts w:ascii="Gill Sans MT" w:hAnsi="Gill Sans MT"/>
          <w:sz w:val="22"/>
          <w:szCs w:val="22"/>
        </w:rPr>
        <w:t xml:space="preserve">land use activity is proposed </w:t>
      </w:r>
      <w:r w:rsidR="00353DA0">
        <w:rPr>
          <w:rFonts w:ascii="Gill Sans MT" w:hAnsi="Gill Sans MT"/>
          <w:sz w:val="22"/>
          <w:szCs w:val="22"/>
        </w:rPr>
        <w:t xml:space="preserve">for </w:t>
      </w:r>
      <w:r w:rsidRPr="009A55A3">
        <w:rPr>
          <w:rFonts w:ascii="Gill Sans MT" w:hAnsi="Gill Sans MT"/>
          <w:sz w:val="22"/>
          <w:szCs w:val="22"/>
        </w:rPr>
        <w:t>their traditional land.</w:t>
      </w:r>
    </w:p>
    <w:p w14:paraId="5EBC81E4" w14:textId="384DA21F" w:rsidR="009A55A3" w:rsidRPr="009A55A3" w:rsidRDefault="009A55A3" w:rsidP="009A55A3">
      <w:pPr>
        <w:autoSpaceDE w:val="0"/>
        <w:autoSpaceDN w:val="0"/>
        <w:adjustRightInd w:val="0"/>
        <w:spacing w:after="112"/>
        <w:ind w:left="284"/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  <w:r w:rsidRPr="009A55A3">
        <w:rPr>
          <w:rFonts w:ascii="Gill Sans MT" w:hAnsi="Gill Sans MT" w:cs="Arial"/>
          <w:color w:val="000000"/>
          <w:sz w:val="22"/>
          <w:szCs w:val="22"/>
          <w:lang w:val="en-AU" w:eastAsia="en-AU"/>
        </w:rPr>
        <w:t>The environmental and social implications of the LUAA are positive</w:t>
      </w:r>
      <w:r w:rsidR="003D609B">
        <w:rPr>
          <w:rFonts w:ascii="Gill Sans MT" w:hAnsi="Gill Sans MT" w:cs="Arial"/>
          <w:color w:val="000000"/>
          <w:sz w:val="22"/>
          <w:szCs w:val="22"/>
          <w:lang w:val="en-AU" w:eastAsia="en-AU"/>
        </w:rPr>
        <w:t>.</w:t>
      </w:r>
      <w:r w:rsidRPr="009A55A3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 </w:t>
      </w:r>
    </w:p>
    <w:p w14:paraId="00CFFF1E" w14:textId="6B869B1E" w:rsidR="009A55A3" w:rsidRPr="009A55A3" w:rsidRDefault="003D609B" w:rsidP="009A55A3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12"/>
        <w:ind w:left="1134"/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  <w:r>
        <w:rPr>
          <w:rFonts w:ascii="Gill Sans MT" w:hAnsi="Gill Sans MT" w:cs="Arial"/>
          <w:color w:val="000000"/>
          <w:sz w:val="22"/>
          <w:szCs w:val="22"/>
          <w:lang w:val="en-AU" w:eastAsia="en-AU"/>
        </w:rPr>
        <w:t>T</w:t>
      </w:r>
      <w:r w:rsidR="009A55A3" w:rsidRPr="009A55A3">
        <w:rPr>
          <w:rFonts w:ascii="Gill Sans MT" w:hAnsi="Gill Sans MT" w:cs="Arial"/>
          <w:color w:val="000000"/>
          <w:sz w:val="22"/>
          <w:szCs w:val="22"/>
          <w:lang w:val="en-AU" w:eastAsia="en-AU"/>
        </w:rPr>
        <w:t>he rights of T</w:t>
      </w:r>
      <w:r w:rsidR="009A55A3">
        <w:rPr>
          <w:rFonts w:ascii="Gill Sans MT" w:hAnsi="Gill Sans MT" w:cs="Arial"/>
          <w:color w:val="000000"/>
          <w:sz w:val="22"/>
          <w:szCs w:val="22"/>
          <w:lang w:val="en-AU" w:eastAsia="en-AU"/>
        </w:rPr>
        <w:t>raditional Owners are protected</w:t>
      </w:r>
      <w:r>
        <w:rPr>
          <w:rFonts w:ascii="Gill Sans MT" w:hAnsi="Gill Sans MT" w:cs="Arial"/>
          <w:color w:val="000000"/>
          <w:sz w:val="22"/>
          <w:szCs w:val="22"/>
          <w:lang w:val="en-AU" w:eastAsia="en-AU"/>
        </w:rPr>
        <w:t>.</w:t>
      </w:r>
    </w:p>
    <w:p w14:paraId="467ADBF8" w14:textId="25F9B8F9" w:rsidR="009A55A3" w:rsidRPr="009A55A3" w:rsidRDefault="009A55A3" w:rsidP="009A55A3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12"/>
        <w:ind w:left="1134"/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  <w:r w:rsidRPr="009A55A3">
        <w:rPr>
          <w:rFonts w:ascii="Gill Sans MT" w:hAnsi="Gill Sans MT" w:cs="Arial"/>
          <w:color w:val="000000"/>
          <w:sz w:val="22"/>
          <w:szCs w:val="22"/>
          <w:lang w:val="en-AU" w:eastAsia="en-AU"/>
        </w:rPr>
        <w:t>Traditional Owners are empowered to negotiate social, cultural and economic development benefits, which may include increased employment and business development, as well as health a</w:t>
      </w:r>
      <w:r>
        <w:rPr>
          <w:rFonts w:ascii="Gill Sans MT" w:hAnsi="Gill Sans MT" w:cs="Arial"/>
          <w:color w:val="000000"/>
          <w:sz w:val="22"/>
          <w:szCs w:val="22"/>
          <w:lang w:val="en-AU" w:eastAsia="en-AU"/>
        </w:rPr>
        <w:t>nd education assistance</w:t>
      </w:r>
      <w:r w:rsidR="003D609B">
        <w:rPr>
          <w:rFonts w:ascii="Gill Sans MT" w:hAnsi="Gill Sans MT" w:cs="Arial"/>
          <w:color w:val="000000"/>
          <w:sz w:val="22"/>
          <w:szCs w:val="22"/>
          <w:lang w:val="en-AU" w:eastAsia="en-AU"/>
        </w:rPr>
        <w:t>.</w:t>
      </w:r>
    </w:p>
    <w:p w14:paraId="72558A2A" w14:textId="61F8CBFD" w:rsidR="009A55A3" w:rsidRPr="009A55A3" w:rsidRDefault="003D609B" w:rsidP="009A55A3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12"/>
        <w:ind w:left="1134"/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  <w:r>
        <w:rPr>
          <w:rFonts w:ascii="Gill Sans MT" w:hAnsi="Gill Sans MT" w:cs="Arial"/>
          <w:color w:val="000000"/>
          <w:sz w:val="22"/>
          <w:szCs w:val="22"/>
          <w:lang w:val="en-AU" w:eastAsia="en-AU"/>
        </w:rPr>
        <w:t>E</w:t>
      </w:r>
      <w:r w:rsidR="009A55A3" w:rsidRPr="009A55A3">
        <w:rPr>
          <w:rFonts w:ascii="Gill Sans MT" w:hAnsi="Gill Sans MT" w:cs="Arial"/>
          <w:color w:val="000000"/>
          <w:sz w:val="22"/>
          <w:szCs w:val="22"/>
          <w:lang w:val="en-AU" w:eastAsia="en-AU"/>
        </w:rPr>
        <w:t>nvironmental impacts of land use activities are consider</w:t>
      </w:r>
      <w:r w:rsidR="009A55A3">
        <w:rPr>
          <w:rFonts w:ascii="Gill Sans MT" w:hAnsi="Gill Sans MT" w:cs="Arial"/>
          <w:color w:val="000000"/>
          <w:sz w:val="22"/>
          <w:szCs w:val="22"/>
          <w:lang w:val="en-AU" w:eastAsia="en-AU"/>
        </w:rPr>
        <w:t>ed as part of normal procedures</w:t>
      </w:r>
      <w:r>
        <w:rPr>
          <w:rFonts w:ascii="Gill Sans MT" w:hAnsi="Gill Sans MT" w:cs="Arial"/>
          <w:color w:val="000000"/>
          <w:sz w:val="22"/>
          <w:szCs w:val="22"/>
          <w:lang w:val="en-AU" w:eastAsia="en-AU"/>
        </w:rPr>
        <w:t>.</w:t>
      </w:r>
    </w:p>
    <w:p w14:paraId="56A26717" w14:textId="77777777" w:rsidR="009A55A3" w:rsidRPr="009A55A3" w:rsidRDefault="009A55A3" w:rsidP="009A55A3">
      <w:pPr>
        <w:pStyle w:val="ListParagraph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112"/>
        <w:ind w:left="1134"/>
        <w:rPr>
          <w:rFonts w:ascii="Gill Sans MT" w:hAnsi="Gill Sans MT" w:cs="Arial"/>
          <w:color w:val="000000"/>
          <w:sz w:val="22"/>
          <w:szCs w:val="22"/>
          <w:lang w:val="en-AU" w:eastAsia="en-AU"/>
        </w:rPr>
      </w:pPr>
      <w:r w:rsidRPr="009A55A3"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Traditional Owners have additional interests in minimising the environmental </w:t>
      </w:r>
      <w:r>
        <w:rPr>
          <w:rFonts w:ascii="Gill Sans MT" w:hAnsi="Gill Sans MT" w:cs="Arial"/>
          <w:color w:val="000000"/>
          <w:sz w:val="22"/>
          <w:szCs w:val="22"/>
          <w:lang w:val="en-AU" w:eastAsia="en-AU"/>
        </w:rPr>
        <w:t xml:space="preserve">impacts of land use </w:t>
      </w:r>
      <w:commentRangeStart w:id="0"/>
      <w:r>
        <w:rPr>
          <w:rFonts w:ascii="Gill Sans MT" w:hAnsi="Gill Sans MT" w:cs="Arial"/>
          <w:color w:val="000000"/>
          <w:sz w:val="22"/>
          <w:szCs w:val="22"/>
          <w:lang w:val="en-AU" w:eastAsia="en-AU"/>
        </w:rPr>
        <w:t>activities</w:t>
      </w:r>
      <w:commentRangeEnd w:id="0"/>
      <w:r w:rsidR="003D609B">
        <w:rPr>
          <w:rStyle w:val="CommentReference"/>
        </w:rPr>
        <w:commentReference w:id="0"/>
      </w:r>
      <w:r>
        <w:rPr>
          <w:rFonts w:ascii="Gill Sans MT" w:hAnsi="Gill Sans MT" w:cs="Arial"/>
          <w:color w:val="000000"/>
          <w:sz w:val="22"/>
          <w:szCs w:val="22"/>
          <w:lang w:val="en-AU" w:eastAsia="en-AU"/>
        </w:rPr>
        <w:t>.</w:t>
      </w:r>
    </w:p>
    <w:p w14:paraId="21DB338F" w14:textId="77777777" w:rsidR="009B1521" w:rsidRDefault="009B1521" w:rsidP="009B1521">
      <w:pPr>
        <w:autoSpaceDE w:val="0"/>
        <w:autoSpaceDN w:val="0"/>
        <w:adjustRightInd w:val="0"/>
        <w:ind w:left="284" w:right="340"/>
        <w:rPr>
          <w:rFonts w:ascii="Arial" w:hAnsi="Arial" w:cs="Arial"/>
          <w:color w:val="000000"/>
          <w:sz w:val="23"/>
          <w:szCs w:val="23"/>
          <w:lang w:val="en-AU" w:eastAsia="en-AU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01EB4414" wp14:editId="399F6AF0">
            <wp:extent cx="6156960" cy="880202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880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5C173" w14:textId="77777777" w:rsidR="009B1521" w:rsidRPr="009B1521" w:rsidRDefault="009B1521" w:rsidP="009B1521">
      <w:pPr>
        <w:autoSpaceDE w:val="0"/>
        <w:autoSpaceDN w:val="0"/>
        <w:adjustRightInd w:val="0"/>
        <w:ind w:right="-85" w:firstLine="720"/>
        <w:rPr>
          <w:rFonts w:ascii="Arial" w:hAnsi="Arial" w:cs="Arial"/>
          <w:color w:val="000000"/>
          <w:sz w:val="23"/>
          <w:szCs w:val="23"/>
          <w:lang w:val="en-AU" w:eastAsia="en-AU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33D65175" wp14:editId="3FFFBEEF">
            <wp:extent cx="1295400" cy="717453"/>
            <wp:effectExtent l="0" t="0" r="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960" cy="7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514CB0F6" wp14:editId="062DBAEB">
            <wp:extent cx="2257425" cy="74522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929" cy="7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23686BEA" wp14:editId="7800BFBA">
            <wp:extent cx="1866900" cy="467789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55" cy="4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1521" w:rsidRPr="009B1521" w:rsidSect="004233C0">
      <w:headerReference w:type="default" r:id="rId17"/>
      <w:footerReference w:type="default" r:id="rId18"/>
      <w:pgSz w:w="11907" w:h="16840" w:code="9"/>
      <w:pgMar w:top="851" w:right="1077" w:bottom="426" w:left="1134" w:header="425" w:footer="414" w:gutter="0"/>
      <w:paperSrc w:first="7" w:other="7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lex Roginski" w:date="2019-04-01T15:07:00Z" w:initials="AR">
    <w:p w14:paraId="47452B23" w14:textId="77777777" w:rsidR="003D609B" w:rsidRDefault="003D609B">
      <w:pPr>
        <w:pStyle w:val="CommentText"/>
      </w:pPr>
      <w:r>
        <w:rPr>
          <w:rStyle w:val="CommentReference"/>
        </w:rPr>
        <w:annotationRef/>
      </w:r>
      <w:r>
        <w:t xml:space="preserve">How does this translate to a positive implication? Is the suggestion that TO interests in environmental impacts strengthen the scrutiny of environmental impacts overall in a way that otherwise wouldn’t occur?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452B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452B23" w16cid:durableId="74C920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14ECB" w14:textId="77777777" w:rsidR="003E4A39" w:rsidRDefault="003E4A39">
      <w:r>
        <w:separator/>
      </w:r>
    </w:p>
  </w:endnote>
  <w:endnote w:type="continuationSeparator" w:id="0">
    <w:p w14:paraId="48503271" w14:textId="77777777" w:rsidR="003E4A39" w:rsidRDefault="003E4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,Bold">
    <w:panose1 w:val="020B0702020104020203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A6F1F" w14:textId="77777777" w:rsidR="00B311DE" w:rsidRPr="00FF5BB4" w:rsidRDefault="00B311DE" w:rsidP="00D9456D">
    <w:pPr>
      <w:pStyle w:val="Footer"/>
      <w:tabs>
        <w:tab w:val="left" w:pos="567"/>
      </w:tabs>
      <w:spacing w:before="56" w:line="220" w:lineRule="exact"/>
      <w:rPr>
        <w:rFonts w:ascii="Gill Sans MT" w:hAnsi="Gill Sans MT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1EFE5" w14:textId="77777777" w:rsidR="00DF6FEE" w:rsidRPr="00DF6FEE" w:rsidRDefault="00DF6FEE" w:rsidP="00DF6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F24E3" w14:textId="77777777" w:rsidR="003E4A39" w:rsidRDefault="003E4A39">
      <w:r>
        <w:separator/>
      </w:r>
    </w:p>
  </w:footnote>
  <w:footnote w:type="continuationSeparator" w:id="0">
    <w:p w14:paraId="07B17B88" w14:textId="77777777" w:rsidR="003E4A39" w:rsidRDefault="003E4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B26FE" w14:textId="2DDC9C3A" w:rsidR="00B311DE" w:rsidRDefault="006D4947" w:rsidP="00D9456D">
    <w:pPr>
      <w:pStyle w:val="Header"/>
      <w:ind w:left="-426"/>
    </w:pPr>
    <w:r w:rsidRPr="006D4947">
      <w:rPr>
        <w:noProof/>
        <w:highlight w:val="yellow"/>
      </w:rPr>
      <w:t>{</w:t>
    </w:r>
    <w:r w:rsidR="002C37DF">
      <w:rPr>
        <w:noProof/>
        <w:highlight w:val="yellow"/>
      </w:rPr>
      <w:t>Your</w:t>
    </w:r>
    <w:r w:rsidRPr="006D4947">
      <w:rPr>
        <w:noProof/>
        <w:highlight w:val="yellow"/>
      </w:rPr>
      <w:t xml:space="preserve"> letterhead}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D3C42" w14:textId="77777777" w:rsidR="00DF6FEE" w:rsidRDefault="00DF6FEE" w:rsidP="00D9456D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C37E1"/>
    <w:multiLevelType w:val="hybridMultilevel"/>
    <w:tmpl w:val="BFE2B834"/>
    <w:lvl w:ilvl="0" w:tplc="E0B66C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20E"/>
    <w:multiLevelType w:val="hybridMultilevel"/>
    <w:tmpl w:val="0E902E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F21F5F"/>
    <w:multiLevelType w:val="hybridMultilevel"/>
    <w:tmpl w:val="4C8AB6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5E5178"/>
    <w:multiLevelType w:val="hybridMultilevel"/>
    <w:tmpl w:val="5C0CCB42"/>
    <w:lvl w:ilvl="0" w:tplc="6A769758">
      <w:numFmt w:val="bullet"/>
      <w:lvlText w:val="•"/>
      <w:lvlJc w:val="left"/>
      <w:pPr>
        <w:ind w:left="1494" w:hanging="360"/>
      </w:pPr>
      <w:rPr>
        <w:rFonts w:ascii="Gill Sans MT" w:eastAsia="Times New Roman" w:hAnsi="Gill Sans MT" w:cs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70A1AD2"/>
    <w:multiLevelType w:val="hybridMultilevel"/>
    <w:tmpl w:val="8CE82676"/>
    <w:lvl w:ilvl="0" w:tplc="6A769758">
      <w:numFmt w:val="bullet"/>
      <w:lvlText w:val="•"/>
      <w:lvlJc w:val="left"/>
      <w:pPr>
        <w:ind w:left="927" w:hanging="360"/>
      </w:pPr>
      <w:rPr>
        <w:rFonts w:ascii="Gill Sans MT" w:eastAsia="Times New Roman" w:hAnsi="Gill Sans MT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77B064C"/>
    <w:multiLevelType w:val="hybridMultilevel"/>
    <w:tmpl w:val="128A9E66"/>
    <w:lvl w:ilvl="0" w:tplc="C450B2D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230A1C"/>
    <w:multiLevelType w:val="hybridMultilevel"/>
    <w:tmpl w:val="97980C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F1B29"/>
    <w:multiLevelType w:val="hybridMultilevel"/>
    <w:tmpl w:val="DA50C43A"/>
    <w:lvl w:ilvl="0" w:tplc="E0B66C3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34367"/>
    <w:multiLevelType w:val="hybridMultilevel"/>
    <w:tmpl w:val="0838C6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95C37"/>
    <w:multiLevelType w:val="hybridMultilevel"/>
    <w:tmpl w:val="F28C66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24FE6"/>
    <w:multiLevelType w:val="hybridMultilevel"/>
    <w:tmpl w:val="0246A70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07170893">
    <w:abstractNumId w:val="5"/>
  </w:num>
  <w:num w:numId="2" w16cid:durableId="1277102837">
    <w:abstractNumId w:val="2"/>
  </w:num>
  <w:num w:numId="3" w16cid:durableId="663557727">
    <w:abstractNumId w:val="8"/>
  </w:num>
  <w:num w:numId="4" w16cid:durableId="277296138">
    <w:abstractNumId w:val="7"/>
  </w:num>
  <w:num w:numId="5" w16cid:durableId="1564020774">
    <w:abstractNumId w:val="0"/>
  </w:num>
  <w:num w:numId="6" w16cid:durableId="615596535">
    <w:abstractNumId w:val="9"/>
  </w:num>
  <w:num w:numId="7" w16cid:durableId="97062186">
    <w:abstractNumId w:val="6"/>
  </w:num>
  <w:num w:numId="8" w16cid:durableId="1733582931">
    <w:abstractNumId w:val="1"/>
  </w:num>
  <w:num w:numId="9" w16cid:durableId="1061563242">
    <w:abstractNumId w:val="4"/>
  </w:num>
  <w:num w:numId="10" w16cid:durableId="1888059078">
    <w:abstractNumId w:val="3"/>
  </w:num>
  <w:num w:numId="11" w16cid:durableId="1451294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ex Roginski">
    <w15:presenceInfo w15:providerId="None" w15:userId="Alex Rogins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embedSystemFonts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EC1"/>
    <w:rsid w:val="000072C7"/>
    <w:rsid w:val="00053907"/>
    <w:rsid w:val="000705AA"/>
    <w:rsid w:val="00074E3A"/>
    <w:rsid w:val="00076E37"/>
    <w:rsid w:val="00084B4D"/>
    <w:rsid w:val="000A5778"/>
    <w:rsid w:val="000B1B8E"/>
    <w:rsid w:val="000C0184"/>
    <w:rsid w:val="00104964"/>
    <w:rsid w:val="00106601"/>
    <w:rsid w:val="00113C17"/>
    <w:rsid w:val="00116B0E"/>
    <w:rsid w:val="00124F27"/>
    <w:rsid w:val="00140E4B"/>
    <w:rsid w:val="00140F78"/>
    <w:rsid w:val="00142792"/>
    <w:rsid w:val="00145A81"/>
    <w:rsid w:val="00153161"/>
    <w:rsid w:val="00155203"/>
    <w:rsid w:val="001557C1"/>
    <w:rsid w:val="00155E58"/>
    <w:rsid w:val="0017053B"/>
    <w:rsid w:val="001706B4"/>
    <w:rsid w:val="00182125"/>
    <w:rsid w:val="001863DD"/>
    <w:rsid w:val="001C134C"/>
    <w:rsid w:val="001C6BD0"/>
    <w:rsid w:val="00213A1B"/>
    <w:rsid w:val="002225C0"/>
    <w:rsid w:val="00235D0C"/>
    <w:rsid w:val="00252756"/>
    <w:rsid w:val="00254B21"/>
    <w:rsid w:val="002930B1"/>
    <w:rsid w:val="00293B57"/>
    <w:rsid w:val="002A267C"/>
    <w:rsid w:val="002A620A"/>
    <w:rsid w:val="002C37DF"/>
    <w:rsid w:val="002D22EE"/>
    <w:rsid w:val="002E09E6"/>
    <w:rsid w:val="002F28B5"/>
    <w:rsid w:val="002F50F4"/>
    <w:rsid w:val="00303062"/>
    <w:rsid w:val="00332C03"/>
    <w:rsid w:val="00337DA0"/>
    <w:rsid w:val="00353DA0"/>
    <w:rsid w:val="00363716"/>
    <w:rsid w:val="0037034E"/>
    <w:rsid w:val="003729A1"/>
    <w:rsid w:val="003A2F4B"/>
    <w:rsid w:val="003A3CCA"/>
    <w:rsid w:val="003B5742"/>
    <w:rsid w:val="003D609B"/>
    <w:rsid w:val="003E4A39"/>
    <w:rsid w:val="003F4F2C"/>
    <w:rsid w:val="00405C90"/>
    <w:rsid w:val="00413AB1"/>
    <w:rsid w:val="0042133E"/>
    <w:rsid w:val="004233C0"/>
    <w:rsid w:val="00451F77"/>
    <w:rsid w:val="00453A33"/>
    <w:rsid w:val="00456CAF"/>
    <w:rsid w:val="00476214"/>
    <w:rsid w:val="0047729C"/>
    <w:rsid w:val="004803E8"/>
    <w:rsid w:val="004854AA"/>
    <w:rsid w:val="00492754"/>
    <w:rsid w:val="0049443B"/>
    <w:rsid w:val="004D66E5"/>
    <w:rsid w:val="004E1B82"/>
    <w:rsid w:val="004F0BAB"/>
    <w:rsid w:val="00524B95"/>
    <w:rsid w:val="00533D05"/>
    <w:rsid w:val="005408DA"/>
    <w:rsid w:val="00543BC0"/>
    <w:rsid w:val="0056592E"/>
    <w:rsid w:val="005771D3"/>
    <w:rsid w:val="00594095"/>
    <w:rsid w:val="005A7EB2"/>
    <w:rsid w:val="005B6A85"/>
    <w:rsid w:val="005C11A1"/>
    <w:rsid w:val="005C23D8"/>
    <w:rsid w:val="005C24BE"/>
    <w:rsid w:val="005D0BD1"/>
    <w:rsid w:val="006051B0"/>
    <w:rsid w:val="00610DF8"/>
    <w:rsid w:val="00645D97"/>
    <w:rsid w:val="0065085C"/>
    <w:rsid w:val="00662992"/>
    <w:rsid w:val="00674AD5"/>
    <w:rsid w:val="00680402"/>
    <w:rsid w:val="00684167"/>
    <w:rsid w:val="006A3543"/>
    <w:rsid w:val="006A7433"/>
    <w:rsid w:val="006A7828"/>
    <w:rsid w:val="006B2AEC"/>
    <w:rsid w:val="006B3B30"/>
    <w:rsid w:val="006B6B0A"/>
    <w:rsid w:val="006D4947"/>
    <w:rsid w:val="006E7550"/>
    <w:rsid w:val="006F0E2F"/>
    <w:rsid w:val="007274C0"/>
    <w:rsid w:val="007306E4"/>
    <w:rsid w:val="007372CE"/>
    <w:rsid w:val="00740340"/>
    <w:rsid w:val="0074280D"/>
    <w:rsid w:val="00763101"/>
    <w:rsid w:val="00771997"/>
    <w:rsid w:val="0079534D"/>
    <w:rsid w:val="007E1F35"/>
    <w:rsid w:val="007F08A0"/>
    <w:rsid w:val="007F1055"/>
    <w:rsid w:val="008004C2"/>
    <w:rsid w:val="00811552"/>
    <w:rsid w:val="00814C48"/>
    <w:rsid w:val="0081772B"/>
    <w:rsid w:val="0082646B"/>
    <w:rsid w:val="00841BF4"/>
    <w:rsid w:val="008454E4"/>
    <w:rsid w:val="0086133D"/>
    <w:rsid w:val="0088748E"/>
    <w:rsid w:val="00890251"/>
    <w:rsid w:val="008E0436"/>
    <w:rsid w:val="008E1996"/>
    <w:rsid w:val="008E59E7"/>
    <w:rsid w:val="009076EC"/>
    <w:rsid w:val="0091551B"/>
    <w:rsid w:val="00936AD1"/>
    <w:rsid w:val="009520EE"/>
    <w:rsid w:val="00973EA0"/>
    <w:rsid w:val="009829BF"/>
    <w:rsid w:val="0099294D"/>
    <w:rsid w:val="009A55A3"/>
    <w:rsid w:val="009B1275"/>
    <w:rsid w:val="009B1521"/>
    <w:rsid w:val="009C7EF9"/>
    <w:rsid w:val="009D52B9"/>
    <w:rsid w:val="009E666F"/>
    <w:rsid w:val="009F15FC"/>
    <w:rsid w:val="009F36F1"/>
    <w:rsid w:val="009F3C94"/>
    <w:rsid w:val="009F542F"/>
    <w:rsid w:val="00A21AC1"/>
    <w:rsid w:val="00A236BD"/>
    <w:rsid w:val="00A42005"/>
    <w:rsid w:val="00A42169"/>
    <w:rsid w:val="00A61024"/>
    <w:rsid w:val="00A61FBF"/>
    <w:rsid w:val="00A71811"/>
    <w:rsid w:val="00A97DD2"/>
    <w:rsid w:val="00AA4B5A"/>
    <w:rsid w:val="00AC0CE6"/>
    <w:rsid w:val="00B01F99"/>
    <w:rsid w:val="00B0269A"/>
    <w:rsid w:val="00B311DE"/>
    <w:rsid w:val="00B32BA9"/>
    <w:rsid w:val="00B544B3"/>
    <w:rsid w:val="00B62384"/>
    <w:rsid w:val="00B74E16"/>
    <w:rsid w:val="00B824ED"/>
    <w:rsid w:val="00BA028E"/>
    <w:rsid w:val="00BB09E3"/>
    <w:rsid w:val="00BC503F"/>
    <w:rsid w:val="00BD6F88"/>
    <w:rsid w:val="00BF44D7"/>
    <w:rsid w:val="00C0781F"/>
    <w:rsid w:val="00C2394C"/>
    <w:rsid w:val="00C45C57"/>
    <w:rsid w:val="00C46AD3"/>
    <w:rsid w:val="00C5308D"/>
    <w:rsid w:val="00C774DB"/>
    <w:rsid w:val="00C804BC"/>
    <w:rsid w:val="00C83004"/>
    <w:rsid w:val="00CD4010"/>
    <w:rsid w:val="00CE1A82"/>
    <w:rsid w:val="00D07D4A"/>
    <w:rsid w:val="00D162C6"/>
    <w:rsid w:val="00D16ACD"/>
    <w:rsid w:val="00D41586"/>
    <w:rsid w:val="00D45021"/>
    <w:rsid w:val="00D53BF4"/>
    <w:rsid w:val="00D62650"/>
    <w:rsid w:val="00D768C7"/>
    <w:rsid w:val="00D832A9"/>
    <w:rsid w:val="00D9456D"/>
    <w:rsid w:val="00DB11B9"/>
    <w:rsid w:val="00DB5363"/>
    <w:rsid w:val="00DD35D7"/>
    <w:rsid w:val="00DE1F23"/>
    <w:rsid w:val="00DE548B"/>
    <w:rsid w:val="00DF15D9"/>
    <w:rsid w:val="00DF6F6D"/>
    <w:rsid w:val="00DF6FEE"/>
    <w:rsid w:val="00DF7A2A"/>
    <w:rsid w:val="00E10508"/>
    <w:rsid w:val="00E138C1"/>
    <w:rsid w:val="00E139B1"/>
    <w:rsid w:val="00E15C84"/>
    <w:rsid w:val="00E1753B"/>
    <w:rsid w:val="00E21C5B"/>
    <w:rsid w:val="00E2480B"/>
    <w:rsid w:val="00E3217E"/>
    <w:rsid w:val="00E45691"/>
    <w:rsid w:val="00E561BC"/>
    <w:rsid w:val="00E7506B"/>
    <w:rsid w:val="00E93748"/>
    <w:rsid w:val="00EA38C4"/>
    <w:rsid w:val="00EB1A8E"/>
    <w:rsid w:val="00EC5E6F"/>
    <w:rsid w:val="00EC7426"/>
    <w:rsid w:val="00ED1484"/>
    <w:rsid w:val="00ED306F"/>
    <w:rsid w:val="00EE495B"/>
    <w:rsid w:val="00F25AEA"/>
    <w:rsid w:val="00F30A86"/>
    <w:rsid w:val="00F37B02"/>
    <w:rsid w:val="00F62EC1"/>
    <w:rsid w:val="00F63F1B"/>
    <w:rsid w:val="00F703F0"/>
    <w:rsid w:val="00F72195"/>
    <w:rsid w:val="00F82615"/>
    <w:rsid w:val="00F93BEE"/>
    <w:rsid w:val="00FA3A89"/>
    <w:rsid w:val="00FA6C17"/>
    <w:rsid w:val="00FB4AC9"/>
    <w:rsid w:val="00FB7976"/>
    <w:rsid w:val="00FD2559"/>
    <w:rsid w:val="00FE3271"/>
    <w:rsid w:val="00FE4824"/>
    <w:rsid w:val="00FE7242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13F2A0"/>
  <w15:docId w15:val="{26C1E265-7AEA-3649-AD31-3DFE825D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2EC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718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24B95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Letter-Greeting">
    <w:name w:val="Letter - Greeting"/>
    <w:basedOn w:val="Normal"/>
    <w:next w:val="Normal"/>
    <w:autoRedefine/>
    <w:rsid w:val="00524B95"/>
    <w:pPr>
      <w:spacing w:before="440" w:after="220"/>
    </w:pPr>
    <w:rPr>
      <w:rFonts w:ascii="Gill Sans MT" w:hAnsi="Gill Sans MT"/>
      <w:sz w:val="22"/>
      <w:lang w:val="en-AU" w:eastAsia="en-AU"/>
    </w:rPr>
  </w:style>
  <w:style w:type="paragraph" w:customStyle="1" w:styleId="Letter-AddressBlock">
    <w:name w:val="Letter - Address Block"/>
    <w:basedOn w:val="Normal"/>
    <w:next w:val="Letter-Greeting"/>
    <w:autoRedefine/>
    <w:rsid w:val="00F62EC1"/>
    <w:pPr>
      <w:widowControl w:val="0"/>
      <w:ind w:left="709"/>
    </w:pPr>
    <w:rPr>
      <w:rFonts w:ascii="Gill Sans MT" w:hAnsi="Gill Sans MT"/>
      <w:sz w:val="16"/>
      <w:szCs w:val="16"/>
      <w:lang w:val="en-AU" w:eastAsia="en-AU"/>
    </w:rPr>
  </w:style>
  <w:style w:type="paragraph" w:customStyle="1" w:styleId="Letter-Date">
    <w:name w:val="Letter - Date"/>
    <w:basedOn w:val="Normal"/>
    <w:next w:val="Letter-AddressBlock"/>
    <w:autoRedefine/>
    <w:rsid w:val="00524B95"/>
    <w:pPr>
      <w:spacing w:after="220"/>
    </w:pPr>
    <w:rPr>
      <w:rFonts w:ascii="Gill Sans MT" w:hAnsi="Gill Sans MT"/>
      <w:sz w:val="22"/>
      <w:szCs w:val="22"/>
      <w:lang w:val="en-AU" w:eastAsia="en-AU"/>
    </w:rPr>
  </w:style>
  <w:style w:type="character" w:customStyle="1" w:styleId="FooterChar">
    <w:name w:val="Footer Char"/>
    <w:link w:val="Footer"/>
    <w:rsid w:val="00FF5BB4"/>
    <w:rPr>
      <w:sz w:val="24"/>
      <w:szCs w:val="24"/>
      <w:lang w:val="en-US" w:eastAsia="en-US"/>
    </w:rPr>
  </w:style>
  <w:style w:type="paragraph" w:customStyle="1" w:styleId="Default">
    <w:name w:val="Default"/>
    <w:rsid w:val="00D945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456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D60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60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60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60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609B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2C37DF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5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irstpeoplesrelations.vic.gov.au/dja-dja-wurrung-land-use-activity-agreement-guidance-local-government" TargetMode="External"/><Relationship Id="rId12" Type="http://schemas.microsoft.com/office/2016/09/relationships/commentsIds" Target="commentsIds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</vt:lpstr>
    </vt:vector>
  </TitlesOfParts>
  <Company>MapInfo Australia</Company>
  <LinksUpToDate>false</LinksUpToDate>
  <CharactersWithSpaces>4425</CharactersWithSpaces>
  <SharedDoc>false</SharedDoc>
  <HLinks>
    <vt:vector size="6" baseType="variant">
      <vt:variant>
        <vt:i4>1114166</vt:i4>
      </vt:variant>
      <vt:variant>
        <vt:i4>3</vt:i4>
      </vt:variant>
      <vt:variant>
        <vt:i4>0</vt:i4>
      </vt:variant>
      <vt:variant>
        <vt:i4>5</vt:i4>
      </vt:variant>
      <vt:variant>
        <vt:lpwstr>mailto:consent@bendigo.vic.gov.au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</dc:title>
  <dc:subject>Exponare Enquiry Print</dc:subject>
  <dc:creator>Adrian Cronin</dc:creator>
  <cp:lastModifiedBy>Shawn Whelan</cp:lastModifiedBy>
  <cp:revision>3</cp:revision>
  <cp:lastPrinted>2014-10-03T02:13:00Z</cp:lastPrinted>
  <dcterms:created xsi:type="dcterms:W3CDTF">2019-04-02T03:33:00Z</dcterms:created>
  <dcterms:modified xsi:type="dcterms:W3CDTF">2024-09-16T03:12:00Z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